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bookmarkStart w:id="0" w:name="_GoBack"/>
      <w:bookmarkEnd w:id="0"/>
    </w:p>
    <w:p>
      <w:pPr>
        <w:jc w:val="center"/>
        <w:rPr>
          <w:rFonts w:eastAsia="方正小标宋_GBK"/>
          <w:sz w:val="48"/>
          <w:szCs w:val="48"/>
        </w:rPr>
      </w:pPr>
      <w:r>
        <w:rPr>
          <w:rFonts w:hint="eastAsia" w:eastAsia="方正小标宋_GBK"/>
          <w:sz w:val="48"/>
          <w:szCs w:val="48"/>
        </w:rPr>
        <w:t>202</w:t>
      </w:r>
      <w:r>
        <w:rPr>
          <w:rFonts w:hint="eastAsia" w:eastAsia="方正小标宋_GBK"/>
          <w:sz w:val="48"/>
          <w:szCs w:val="48"/>
          <w:lang w:val="en-US" w:eastAsia="zh-CN"/>
        </w:rPr>
        <w:t>3</w:t>
      </w:r>
      <w:r>
        <w:rPr>
          <w:rFonts w:eastAsia="方正小标宋_GBK"/>
          <w:sz w:val="48"/>
          <w:szCs w:val="48"/>
        </w:rPr>
        <w:t>年度</w:t>
      </w:r>
      <w:r>
        <w:rPr>
          <w:rFonts w:hint="eastAsia" w:eastAsia="方正小标宋_GBK"/>
          <w:sz w:val="48"/>
          <w:szCs w:val="48"/>
          <w:lang w:eastAsia="zh-CN"/>
        </w:rPr>
        <w:t>江永县桃川镇中心幼儿园</w:t>
      </w:r>
      <w:r>
        <w:rPr>
          <w:rFonts w:eastAsia="方正小标宋_GBK"/>
          <w:sz w:val="48"/>
          <w:szCs w:val="48"/>
        </w:rPr>
        <w:t>整体支出</w:t>
      </w:r>
    </w:p>
    <w:p>
      <w:pPr>
        <w:jc w:val="center"/>
        <w:rPr>
          <w:rFonts w:eastAsia="方正小标宋_GBK"/>
          <w:sz w:val="48"/>
          <w:szCs w:val="48"/>
        </w:rPr>
      </w:pPr>
      <w:r>
        <w:rPr>
          <w:rFonts w:eastAsia="方正小标宋_GBK"/>
          <w:sz w:val="48"/>
          <w:szCs w:val="48"/>
        </w:rPr>
        <w:t>绩效自评报告</w:t>
      </w:r>
    </w:p>
    <w:p>
      <w:pPr>
        <w:jc w:val="center"/>
        <w:rPr>
          <w:rFonts w:hint="eastAsia" w:eastAsia="楷体_GB2312"/>
          <w:b/>
          <w:sz w:val="32"/>
          <w:szCs w:val="32"/>
        </w:rPr>
      </w:pPr>
      <w:r>
        <w:rPr>
          <w:rFonts w:hint="eastAsia" w:eastAsia="楷体_GB2312"/>
          <w:b/>
          <w:sz w:val="32"/>
          <w:szCs w:val="32"/>
        </w:rPr>
        <w:t xml:space="preserve"> </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单位名称（盖章）：</w:t>
      </w:r>
      <w:r>
        <w:rPr>
          <w:rFonts w:hint="eastAsia" w:eastAsia="黑体"/>
          <w:sz w:val="36"/>
          <w:szCs w:val="36"/>
        </w:rPr>
        <w:t>江永县桃川镇中心幼儿园</w:t>
      </w:r>
    </w:p>
    <w:p>
      <w:pPr>
        <w:jc w:val="center"/>
        <w:rPr>
          <w:rFonts w:eastAsia="黑体"/>
          <w:sz w:val="36"/>
          <w:szCs w:val="36"/>
        </w:rPr>
      </w:pPr>
    </w:p>
    <w:p>
      <w:pPr>
        <w:jc w:val="center"/>
        <w:rPr>
          <w:rFonts w:eastAsia="黑体"/>
          <w:sz w:val="32"/>
          <w:szCs w:val="32"/>
        </w:rPr>
      </w:pPr>
    </w:p>
    <w:p>
      <w:pPr>
        <w:spacing w:line="600" w:lineRule="exact"/>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pPr>
        <w:spacing w:line="600" w:lineRule="exac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江永县</w:t>
      </w:r>
      <w:r>
        <w:rPr>
          <w:rFonts w:hint="eastAsia" w:asciiTheme="minorEastAsia" w:hAnsiTheme="minorEastAsia" w:eastAsiaTheme="minorEastAsia" w:cstheme="minorEastAsia"/>
          <w:sz w:val="28"/>
          <w:szCs w:val="28"/>
          <w:lang w:eastAsia="zh-CN"/>
        </w:rPr>
        <w:t>桃川镇中心幼儿园坐落于江永县桃川镇解放街</w:t>
      </w: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eastAsia="zh-CN"/>
        </w:rPr>
        <w:t>上半年在园幼儿</w:t>
      </w:r>
      <w:r>
        <w:rPr>
          <w:rFonts w:hint="eastAsia" w:asciiTheme="minorEastAsia" w:hAnsiTheme="minorEastAsia" w:eastAsiaTheme="minorEastAsia" w:cstheme="minorEastAsia"/>
          <w:sz w:val="28"/>
          <w:szCs w:val="28"/>
          <w:lang w:val="en-US" w:eastAsia="zh-CN"/>
        </w:rPr>
        <w:t>689人，2023年下半年在园幼儿435人，园内在职在编幼师28人，单位</w:t>
      </w:r>
      <w:r>
        <w:rPr>
          <w:rFonts w:hint="eastAsia" w:asciiTheme="minorEastAsia" w:hAnsiTheme="minorEastAsia" w:eastAsiaTheme="minorEastAsia" w:cstheme="minorEastAsia"/>
          <w:sz w:val="28"/>
          <w:szCs w:val="28"/>
          <w:lang w:eastAsia="zh-CN"/>
        </w:rPr>
        <w:t>宗旨是为学龄前儿童提供保育和教育服务，业务范围是幼儿保育，幼儿教育。</w:t>
      </w:r>
    </w:p>
    <w:p>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pPr>
        <w:spacing w:line="600" w:lineRule="exact"/>
        <w:ind w:firstLine="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560" w:firstLineChars="200"/>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年年度一般公共预算安排</w:t>
      </w:r>
      <w:r>
        <w:rPr>
          <w:rFonts w:hint="eastAsia" w:asciiTheme="minorEastAsia" w:hAnsiTheme="minorEastAsia" w:eastAsiaTheme="minorEastAsia" w:cstheme="minorEastAsia"/>
          <w:sz w:val="28"/>
          <w:szCs w:val="28"/>
          <w:lang w:val="en-US" w:eastAsia="zh-CN"/>
        </w:rPr>
        <w:t>366.80</w:t>
      </w:r>
      <w:r>
        <w:rPr>
          <w:rFonts w:hint="eastAsia" w:asciiTheme="minorEastAsia" w:hAnsiTheme="minorEastAsia" w:eastAsiaTheme="minorEastAsia" w:cstheme="minorEastAsia"/>
          <w:sz w:val="28"/>
          <w:szCs w:val="28"/>
        </w:rPr>
        <w:t>万元，</w:t>
      </w:r>
      <w:r>
        <w:rPr>
          <w:rFonts w:hint="eastAsia" w:asciiTheme="minorEastAsia" w:hAnsiTheme="minorEastAsia" w:eastAsiaTheme="minorEastAsia" w:cstheme="minorEastAsia"/>
          <w:sz w:val="28"/>
          <w:szCs w:val="28"/>
          <w:lang w:eastAsia="zh-CN"/>
        </w:rPr>
        <w:t>其中人员经费</w:t>
      </w:r>
      <w:r>
        <w:rPr>
          <w:rFonts w:hint="eastAsia" w:asciiTheme="minorEastAsia" w:hAnsiTheme="minorEastAsia" w:eastAsiaTheme="minorEastAsia" w:cstheme="minorEastAsia"/>
          <w:sz w:val="28"/>
          <w:szCs w:val="28"/>
          <w:lang w:val="en-US" w:eastAsia="zh-CN"/>
        </w:rPr>
        <w:t>320.39万元</w:t>
      </w:r>
      <w:r>
        <w:rPr>
          <w:rFonts w:hint="eastAsia" w:asciiTheme="minorEastAsia" w:hAnsiTheme="minorEastAsia" w:eastAsiaTheme="minorEastAsia" w:cstheme="minorEastAsia"/>
          <w:sz w:val="28"/>
          <w:szCs w:val="28"/>
          <w:lang w:eastAsia="zh-CN"/>
        </w:rPr>
        <w:t>，公用经费</w:t>
      </w:r>
      <w:r>
        <w:rPr>
          <w:rFonts w:hint="eastAsia" w:asciiTheme="minorEastAsia" w:hAnsiTheme="minorEastAsia" w:eastAsiaTheme="minorEastAsia" w:cstheme="minorEastAsia"/>
          <w:sz w:val="28"/>
          <w:szCs w:val="28"/>
          <w:lang w:val="en-US" w:eastAsia="zh-CN"/>
        </w:rPr>
        <w:t>46.41万元。</w:t>
      </w:r>
    </w:p>
    <w:p>
      <w:pPr>
        <w:spacing w:line="600" w:lineRule="exact"/>
        <w:ind w:firstLine="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 xml:space="preserve">  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年江永县</w:t>
      </w:r>
      <w:r>
        <w:rPr>
          <w:rFonts w:hint="eastAsia" w:asciiTheme="minorEastAsia" w:hAnsiTheme="minorEastAsia" w:eastAsiaTheme="minorEastAsia" w:cstheme="minorEastAsia"/>
          <w:sz w:val="28"/>
          <w:szCs w:val="28"/>
          <w:lang w:eastAsia="zh-CN"/>
        </w:rPr>
        <w:t>桃川镇中心幼儿园</w:t>
      </w:r>
      <w:r>
        <w:rPr>
          <w:rFonts w:hint="eastAsia" w:asciiTheme="minorEastAsia" w:hAnsiTheme="minorEastAsia" w:eastAsiaTheme="minorEastAsia" w:cstheme="minorEastAsia"/>
          <w:sz w:val="28"/>
          <w:szCs w:val="28"/>
        </w:rPr>
        <w:t>用于单位正常运转及人员经费共</w:t>
      </w:r>
      <w:r>
        <w:rPr>
          <w:rFonts w:hint="eastAsia" w:asciiTheme="minorEastAsia" w:hAnsiTheme="minorEastAsia" w:eastAsiaTheme="minorEastAsia" w:cstheme="minorEastAsia"/>
          <w:sz w:val="28"/>
          <w:szCs w:val="28"/>
          <w:lang w:val="en-US" w:eastAsia="zh-CN"/>
        </w:rPr>
        <w:t>366.80</w:t>
      </w:r>
      <w:r>
        <w:rPr>
          <w:rFonts w:hint="eastAsia" w:asciiTheme="minorEastAsia" w:hAnsiTheme="minorEastAsia" w:eastAsiaTheme="minorEastAsia" w:cstheme="minorEastAsia"/>
          <w:sz w:val="28"/>
          <w:szCs w:val="28"/>
        </w:rPr>
        <w:t>万元，其中人员支出（含基本工资、绩效津补贴、社保及临聘人员工资福利等）共</w:t>
      </w:r>
      <w:r>
        <w:rPr>
          <w:rFonts w:hint="eastAsia" w:asciiTheme="minorEastAsia" w:hAnsiTheme="minorEastAsia" w:eastAsiaTheme="minorEastAsia" w:cstheme="minorEastAsia"/>
          <w:sz w:val="28"/>
          <w:szCs w:val="28"/>
          <w:lang w:val="en-US" w:eastAsia="zh-CN"/>
        </w:rPr>
        <w:t>320.39</w:t>
      </w:r>
      <w:r>
        <w:rPr>
          <w:rFonts w:hint="eastAsia" w:asciiTheme="minorEastAsia" w:hAnsiTheme="minorEastAsia" w:eastAsiaTheme="minorEastAsia" w:cstheme="minorEastAsia"/>
          <w:sz w:val="28"/>
          <w:szCs w:val="28"/>
        </w:rPr>
        <w:t>万元，机构正常运转经费</w:t>
      </w:r>
      <w:r>
        <w:rPr>
          <w:rFonts w:hint="eastAsia" w:asciiTheme="minorEastAsia" w:hAnsiTheme="minorEastAsia" w:eastAsiaTheme="minorEastAsia" w:cstheme="minorEastAsia"/>
          <w:sz w:val="28"/>
          <w:szCs w:val="28"/>
          <w:lang w:val="en-US" w:eastAsia="zh-CN"/>
        </w:rPr>
        <w:t>46.41</w:t>
      </w:r>
      <w:r>
        <w:rPr>
          <w:rFonts w:hint="eastAsia" w:asciiTheme="minorEastAsia" w:hAnsiTheme="minorEastAsia" w:eastAsiaTheme="minorEastAsia" w:cstheme="minorEastAsia"/>
          <w:sz w:val="28"/>
          <w:szCs w:val="28"/>
        </w:rPr>
        <w:t>万元。其中办公费</w:t>
      </w:r>
      <w:r>
        <w:rPr>
          <w:rFonts w:hint="eastAsia" w:asciiTheme="minorEastAsia" w:hAnsiTheme="minorEastAsia" w:eastAsiaTheme="minorEastAsia" w:cstheme="minorEastAsia"/>
          <w:sz w:val="28"/>
          <w:szCs w:val="28"/>
          <w:lang w:val="en-US" w:eastAsia="zh-CN"/>
        </w:rPr>
        <w:t>11.39</w:t>
      </w:r>
      <w:r>
        <w:rPr>
          <w:rFonts w:hint="eastAsia" w:asciiTheme="minorEastAsia" w:hAnsiTheme="minorEastAsia" w:eastAsiaTheme="minorEastAsia" w:cstheme="minorEastAsia"/>
          <w:sz w:val="28"/>
          <w:szCs w:val="28"/>
        </w:rPr>
        <w:t>万元；水</w:t>
      </w:r>
      <w:r>
        <w:rPr>
          <w:rFonts w:hint="eastAsia" w:asciiTheme="minorEastAsia" w:hAnsiTheme="minorEastAsia" w:eastAsiaTheme="minorEastAsia" w:cstheme="minorEastAsia"/>
          <w:sz w:val="28"/>
          <w:szCs w:val="28"/>
          <w:lang w:eastAsia="zh-CN"/>
        </w:rPr>
        <w:t>费</w:t>
      </w:r>
      <w:r>
        <w:rPr>
          <w:rFonts w:hint="eastAsia" w:asciiTheme="minorEastAsia" w:hAnsiTheme="minorEastAsia" w:eastAsiaTheme="minorEastAsia" w:cstheme="minorEastAsia"/>
          <w:sz w:val="28"/>
          <w:szCs w:val="28"/>
        </w:rPr>
        <w:t>电费</w:t>
      </w:r>
      <w:r>
        <w:rPr>
          <w:rFonts w:hint="eastAsia" w:asciiTheme="minorEastAsia" w:hAnsiTheme="minorEastAsia" w:eastAsiaTheme="minorEastAsia" w:cstheme="minorEastAsia"/>
          <w:sz w:val="28"/>
          <w:szCs w:val="28"/>
          <w:lang w:eastAsia="zh-CN"/>
        </w:rPr>
        <w:t>差旅费</w:t>
      </w:r>
      <w:r>
        <w:rPr>
          <w:rFonts w:hint="eastAsia" w:asciiTheme="minorEastAsia" w:hAnsiTheme="minorEastAsia" w:eastAsiaTheme="minorEastAsia" w:cstheme="minorEastAsia"/>
          <w:sz w:val="28"/>
          <w:szCs w:val="28"/>
          <w:lang w:val="en-US" w:eastAsia="zh-CN"/>
        </w:rPr>
        <w:t>2.30</w:t>
      </w:r>
      <w:r>
        <w:rPr>
          <w:rFonts w:hint="eastAsia" w:asciiTheme="minorEastAsia" w:hAnsiTheme="minorEastAsia" w:eastAsiaTheme="minorEastAsia" w:cstheme="minorEastAsia"/>
          <w:sz w:val="28"/>
          <w:szCs w:val="28"/>
        </w:rPr>
        <w:t>万元；培训费</w:t>
      </w:r>
      <w:r>
        <w:rPr>
          <w:rFonts w:hint="eastAsia" w:asciiTheme="minorEastAsia" w:hAnsiTheme="minorEastAsia" w:eastAsiaTheme="minorEastAsia" w:cstheme="minorEastAsia"/>
          <w:sz w:val="28"/>
          <w:szCs w:val="28"/>
          <w:lang w:val="en-US" w:eastAsia="zh-CN"/>
        </w:rPr>
        <w:t>0.43万</w:t>
      </w:r>
      <w:r>
        <w:rPr>
          <w:rFonts w:hint="eastAsia" w:asciiTheme="minorEastAsia" w:hAnsiTheme="minorEastAsia" w:eastAsiaTheme="minorEastAsia" w:cstheme="minorEastAsia"/>
          <w:sz w:val="28"/>
          <w:szCs w:val="28"/>
        </w:rPr>
        <w:t>元</w:t>
      </w:r>
      <w:r>
        <w:rPr>
          <w:rFonts w:hint="eastAsia" w:asciiTheme="minorEastAsia" w:hAnsiTheme="minorEastAsia" w:eastAsiaTheme="minorEastAsia" w:cstheme="minorEastAsia"/>
          <w:sz w:val="28"/>
          <w:szCs w:val="28"/>
          <w:lang w:eastAsia="zh-CN"/>
        </w:rPr>
        <w:t>。</w:t>
      </w:r>
    </w:p>
    <w:p>
      <w:pPr>
        <w:pStyle w:val="7"/>
        <w:spacing w:line="600" w:lineRule="exact"/>
        <w:ind w:firstLine="0" w:firstLineChars="0"/>
        <w:rPr>
          <w:rFonts w:ascii="Times New Roman" w:hAnsi="Times New Roman" w:eastAsia="楷体_GB2312"/>
          <w:b/>
          <w:sz w:val="32"/>
          <w:szCs w:val="32"/>
        </w:rPr>
      </w:pPr>
      <w:r>
        <w:rPr>
          <w:rFonts w:hint="eastAsia" w:ascii="Times New Roman" w:hAnsi="Times New Roman" w:eastAsia="楷体_GB2312"/>
          <w:b/>
          <w:sz w:val="32"/>
          <w:szCs w:val="32"/>
        </w:rPr>
        <w:t xml:space="preserve">  </w:t>
      </w:r>
      <w:r>
        <w:rPr>
          <w:rFonts w:ascii="Times New Roman" w:hAnsi="Times New Roman" w:eastAsia="楷体_GB2312"/>
          <w:b/>
          <w:sz w:val="32"/>
          <w:szCs w:val="32"/>
        </w:rPr>
        <w:t>（二）项目支出情况</w:t>
      </w:r>
    </w:p>
    <w:p>
      <w:pPr>
        <w:pStyle w:val="7"/>
        <w:spacing w:line="600" w:lineRule="exact"/>
        <w:ind w:firstLine="640" w:firstLineChars="200"/>
        <w:rPr>
          <w:rFonts w:hint="default" w:eastAsia="楷体_GB2312" w:asciiTheme="minorEastAsia" w:hAnsiTheme="minorEastAsia" w:cstheme="minorEastAsia"/>
          <w:sz w:val="28"/>
          <w:szCs w:val="28"/>
          <w:lang w:val="en-US" w:eastAsia="zh-CN"/>
        </w:rPr>
      </w:pPr>
      <w:r>
        <w:rPr>
          <w:rFonts w:hint="eastAsia" w:ascii="Times New Roman" w:hAnsi="Times New Roman" w:eastAsia="楷体_GB2312"/>
          <w:bCs/>
          <w:sz w:val="32"/>
          <w:szCs w:val="32"/>
        </w:rPr>
        <w:t xml:space="preserve"> </w:t>
      </w:r>
      <w:r>
        <w:rPr>
          <w:rFonts w:hint="eastAsia" w:ascii="Times New Roman" w:hAnsi="Times New Roman" w:eastAsia="楷体_GB2312"/>
          <w:bCs/>
          <w:sz w:val="32"/>
          <w:szCs w:val="32"/>
          <w:lang w:val="en-US" w:eastAsia="zh-CN"/>
        </w:rPr>
        <w:t xml:space="preserve">  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pStyle w:val="7"/>
        <w:spacing w:line="600" w:lineRule="exact"/>
        <w:ind w:firstLine="1280" w:firstLineChars="400"/>
        <w:rPr>
          <w:rFonts w:ascii="Times New Roman" w:hAnsi="Times New Roman" w:eastAsia="楷体_GB2312"/>
          <w:bCs/>
          <w:sz w:val="32"/>
          <w:szCs w:val="32"/>
        </w:rPr>
      </w:pPr>
      <w:r>
        <w:rPr>
          <w:rFonts w:hint="eastAsia" w:ascii="Times New Roman" w:hAnsi="Times New Roman" w:eastAsia="楷体_GB2312"/>
          <w:bCs/>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7"/>
        <w:spacing w:line="600" w:lineRule="exact"/>
        <w:ind w:firstLine="1280" w:firstLineChars="400"/>
        <w:rPr>
          <w:rFonts w:ascii="Times New Roman" w:hAnsi="Times New Roman" w:eastAsia="黑体"/>
          <w:sz w:val="32"/>
          <w:szCs w:val="32"/>
        </w:rPr>
      </w:pPr>
      <w:r>
        <w:rPr>
          <w:rFonts w:hint="eastAsia" w:ascii="Times New Roman" w:hAnsi="Times New Roman" w:eastAsia="楷体_GB2312"/>
          <w:bCs/>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7"/>
        <w:spacing w:line="600" w:lineRule="exact"/>
        <w:ind w:left="0" w:leftChars="0"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年机关事业单位基本养老保险缴费支出</w:t>
      </w:r>
      <w:r>
        <w:rPr>
          <w:rFonts w:hint="eastAsia" w:asciiTheme="minorEastAsia" w:hAnsiTheme="minorEastAsia" w:eastAsiaTheme="minorEastAsia" w:cstheme="minorEastAsia"/>
          <w:sz w:val="28"/>
          <w:szCs w:val="28"/>
          <w:lang w:val="en-US" w:eastAsia="zh-CN"/>
        </w:rPr>
        <w:t>21.74</w:t>
      </w:r>
      <w:r>
        <w:rPr>
          <w:rFonts w:hint="eastAsia" w:asciiTheme="minorEastAsia" w:hAnsiTheme="minorEastAsia" w:eastAsiaTheme="minorEastAsia" w:cstheme="minorEastAsia"/>
          <w:sz w:val="28"/>
          <w:szCs w:val="28"/>
        </w:rPr>
        <w:t>万元，职工基本医疗保险缴费支出</w:t>
      </w:r>
      <w:r>
        <w:rPr>
          <w:rFonts w:hint="eastAsia" w:asciiTheme="minorEastAsia" w:hAnsiTheme="minorEastAsia" w:eastAsiaTheme="minorEastAsia" w:cstheme="minorEastAsia"/>
          <w:sz w:val="28"/>
          <w:szCs w:val="28"/>
          <w:lang w:val="en-US" w:eastAsia="zh-CN"/>
        </w:rPr>
        <w:t>10.41</w:t>
      </w:r>
      <w:r>
        <w:rPr>
          <w:rFonts w:hint="eastAsia" w:asciiTheme="minorEastAsia" w:hAnsiTheme="minorEastAsia" w:eastAsiaTheme="minorEastAsia" w:cstheme="minorEastAsia"/>
          <w:sz w:val="28"/>
          <w:szCs w:val="28"/>
        </w:rPr>
        <w:t>万元，其他社会保障缴费支出</w:t>
      </w:r>
      <w:r>
        <w:rPr>
          <w:rFonts w:hint="eastAsia" w:asciiTheme="minorEastAsia" w:hAnsiTheme="minorEastAsia" w:eastAsiaTheme="minorEastAsia" w:cstheme="minorEastAsia"/>
          <w:sz w:val="28"/>
          <w:szCs w:val="28"/>
          <w:lang w:val="en-US" w:eastAsia="zh-CN"/>
        </w:rPr>
        <w:t>25.24</w:t>
      </w:r>
      <w:r>
        <w:rPr>
          <w:rFonts w:hint="eastAsia" w:asciiTheme="minorEastAsia" w:hAnsiTheme="minorEastAsia" w:eastAsiaTheme="minorEastAsia" w:cstheme="minorEastAsia"/>
          <w:sz w:val="28"/>
          <w:szCs w:val="28"/>
        </w:rPr>
        <w:t>万元。社会保险基金预算支出共计</w:t>
      </w:r>
      <w:r>
        <w:rPr>
          <w:rFonts w:hint="eastAsia" w:asciiTheme="minorEastAsia" w:hAnsiTheme="minorEastAsia" w:eastAsiaTheme="minorEastAsia" w:cstheme="minorEastAsia"/>
          <w:sz w:val="28"/>
          <w:szCs w:val="28"/>
          <w:lang w:val="en-US" w:eastAsia="zh-CN"/>
        </w:rPr>
        <w:t>57.39</w:t>
      </w:r>
      <w:r>
        <w:rPr>
          <w:rFonts w:hint="eastAsia" w:asciiTheme="minorEastAsia" w:hAnsiTheme="minorEastAsia" w:eastAsiaTheme="minorEastAsia" w:cstheme="minorEastAsia"/>
          <w:sz w:val="28"/>
          <w:szCs w:val="28"/>
        </w:rPr>
        <w:t>万元</w:t>
      </w:r>
    </w:p>
    <w:p>
      <w:pPr>
        <w:spacing w:line="600" w:lineRule="exact"/>
        <w:ind w:firstLine="640" w:firstLineChars="200"/>
        <w:rPr>
          <w:rFonts w:eastAsia="黑体"/>
          <w:sz w:val="32"/>
          <w:szCs w:val="32"/>
        </w:rPr>
      </w:pPr>
      <w:r>
        <w:rPr>
          <w:rFonts w:eastAsia="黑体"/>
          <w:sz w:val="32"/>
          <w:szCs w:val="32"/>
        </w:rPr>
        <w:t>六、部门整体支出绩效情况</w:t>
      </w:r>
    </w:p>
    <w:p>
      <w:pPr>
        <w:pStyle w:val="4"/>
        <w:widowControl/>
        <w:spacing w:beforeAutospacing="0" w:afterAutospacing="0" w:line="33" w:lineRule="atLeast"/>
        <w:ind w:firstLine="560" w:firstLineChars="200"/>
        <w:jc w:val="both"/>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rPr>
        <w:t>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我单位积极履职，强化管理，较好地完成了年度工作目标。通过加强预算收支管理，不断建立健全内部管理制度，梳理内部管理流程，部门整体支出管理水平得到提升。根据部门整体支出绩效评价指标体系，我单位202</w:t>
      </w:r>
      <w:r>
        <w:rPr>
          <w:rFonts w:hint="eastAsia" w:asciiTheme="minorEastAsia" w:hAnsiTheme="minorEastAsia" w:eastAsiaTheme="minorEastAsia" w:cstheme="minorEastAsia"/>
          <w:kern w:val="2"/>
          <w:sz w:val="28"/>
          <w:szCs w:val="28"/>
          <w:lang w:val="en-US" w:eastAsia="zh-CN"/>
        </w:rPr>
        <w:t>3</w:t>
      </w:r>
      <w:r>
        <w:rPr>
          <w:rFonts w:hint="eastAsia" w:asciiTheme="minorEastAsia" w:hAnsiTheme="minorEastAsia" w:eastAsiaTheme="minorEastAsia" w:cstheme="minorEastAsia"/>
          <w:kern w:val="2"/>
          <w:sz w:val="28"/>
          <w:szCs w:val="28"/>
        </w:rPr>
        <w:t>年度评价得分为9</w:t>
      </w:r>
      <w:r>
        <w:rPr>
          <w:rFonts w:hint="eastAsia" w:asciiTheme="minorEastAsia" w:hAnsiTheme="minorEastAsia" w:eastAsiaTheme="minorEastAsia" w:cstheme="minorEastAsia"/>
          <w:kern w:val="2"/>
          <w:sz w:val="28"/>
          <w:szCs w:val="28"/>
          <w:lang w:val="en-US" w:eastAsia="zh-CN"/>
        </w:rPr>
        <w:t>7</w:t>
      </w:r>
      <w:r>
        <w:rPr>
          <w:rFonts w:hint="eastAsia" w:asciiTheme="minorEastAsia" w:hAnsiTheme="minorEastAsia" w:eastAsiaTheme="minorEastAsia" w:cstheme="minorEastAsia"/>
          <w:kern w:val="2"/>
          <w:sz w:val="28"/>
          <w:szCs w:val="28"/>
        </w:rPr>
        <w:t>分。部门整体支出绩效情况</w:t>
      </w:r>
      <w:r>
        <w:rPr>
          <w:rFonts w:hint="eastAsia" w:asciiTheme="minorEastAsia" w:hAnsiTheme="minorEastAsia" w:eastAsiaTheme="minorEastAsia" w:cstheme="minorEastAsia"/>
          <w:kern w:val="2"/>
          <w:sz w:val="28"/>
          <w:szCs w:val="28"/>
          <w:lang w:eastAsia="zh-CN"/>
        </w:rPr>
        <w:t>中，</w:t>
      </w:r>
      <w:r>
        <w:rPr>
          <w:rFonts w:hint="eastAsia" w:asciiTheme="minorEastAsia" w:hAnsiTheme="minorEastAsia" w:eastAsiaTheme="minorEastAsia" w:cstheme="minorEastAsia"/>
          <w:kern w:val="2"/>
          <w:sz w:val="28"/>
          <w:szCs w:val="28"/>
          <w:lang w:val="en-US" w:eastAsia="zh-CN"/>
        </w:rPr>
        <w:t>部门资金使用率得分10分，其他分值如下：</w:t>
      </w:r>
    </w:p>
    <w:tbl>
      <w:tblPr>
        <w:tblStyle w:val="5"/>
        <w:tblW w:w="98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4"/>
        <w:gridCol w:w="1157"/>
        <w:gridCol w:w="1380"/>
        <w:gridCol w:w="2173"/>
        <w:gridCol w:w="1485"/>
        <w:gridCol w:w="1249"/>
        <w:gridCol w:w="772"/>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绩效指标</w:t>
            </w:r>
          </w:p>
        </w:tc>
        <w:tc>
          <w:tcPr>
            <w:tcW w:w="1157"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38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21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85"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年度指标值</w:t>
            </w:r>
          </w:p>
        </w:tc>
        <w:tc>
          <w:tcPr>
            <w:tcW w:w="1249"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实际完成值</w:t>
            </w:r>
          </w:p>
        </w:tc>
        <w:tc>
          <w:tcPr>
            <w:tcW w:w="7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9"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38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21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5"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249"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p>
        </w:tc>
        <w:tc>
          <w:tcPr>
            <w:tcW w:w="1157" w:type="dxa"/>
            <w:vMerge w:val="restart"/>
            <w:tcBorders>
              <w:top w:val="single" w:color="000000" w:sz="4" w:space="0"/>
              <w:left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1380" w:type="dxa"/>
            <w:vMerge w:val="restart"/>
            <w:tcBorders>
              <w:top w:val="single" w:color="000000" w:sz="4" w:space="0"/>
              <w:left w:val="single" w:color="000000" w:sz="4" w:space="0"/>
              <w:right w:val="nil"/>
            </w:tcBorders>
            <w:shd w:val="clear" w:color="auto" w:fill="auto"/>
            <w:vAlign w:val="center"/>
          </w:tcPr>
          <w:p>
            <w:pPr>
              <w:widowControl/>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数量</w:t>
            </w:r>
          </w:p>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rPr>
              <w:t>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教师培训人次</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2次</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1157" w:type="dxa"/>
            <w:vMerge w:val="continue"/>
            <w:tcBorders>
              <w:left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教师考核人数</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28人</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28人</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380" w:type="dxa"/>
            <w:vMerge w:val="restart"/>
            <w:tcBorders>
              <w:top w:val="single" w:color="000000" w:sz="4" w:space="0"/>
              <w:left w:val="single" w:color="000000" w:sz="4" w:space="0"/>
              <w:right w:val="nil"/>
            </w:tcBorders>
            <w:shd w:val="clear" w:color="auto" w:fill="auto"/>
            <w:vAlign w:val="center"/>
          </w:tcPr>
          <w:p>
            <w:pPr>
              <w:widowControl/>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w:t>
            </w:r>
          </w:p>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rPr>
              <w:t>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幼儿园系统完成率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380" w:type="dxa"/>
            <w:vMerge w:val="continue"/>
            <w:tcBorders>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i w:val="0"/>
                <w:iCs w:val="0"/>
                <w:color w:val="000000"/>
                <w:sz w:val="22"/>
                <w:szCs w:val="22"/>
                <w:u w:val="none"/>
              </w:rPr>
            </w:pP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考核、培训完成率</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时效</w:t>
            </w:r>
          </w:p>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rPr>
              <w:t>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完成时间</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2023年年内</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2023年年内</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widowControl/>
              <w:jc w:val="center"/>
              <w:rPr>
                <w:rFonts w:hint="eastAsia" w:ascii="宋体" w:hAnsi="宋体" w:eastAsia="宋体" w:cs="宋体"/>
                <w:i w:val="0"/>
                <w:iCs w:val="0"/>
                <w:color w:val="000000"/>
                <w:sz w:val="22"/>
                <w:szCs w:val="22"/>
                <w:u w:val="none"/>
              </w:rPr>
            </w:pPr>
            <w:r>
              <w:rPr>
                <w:rFonts w:hint="eastAsia" w:ascii="宋体" w:hAnsi="宋体" w:eastAsia="宋体" w:cs="宋体"/>
                <w:color w:val="000000"/>
                <w:kern w:val="0"/>
                <w:sz w:val="22"/>
                <w:szCs w:val="22"/>
                <w:lang w:val="en-US" w:eastAsia="zh-CN"/>
              </w:rPr>
              <w:t>经济效益指标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提高幼师队伍生活质量</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提高幼师队伍生活质量</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提高幼师队伍生活质量</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促进全园师生全面发展</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促进全园师生全面发展</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促进全园师生全面发展</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生态效益指标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幼儿园环境改善</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改善</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改善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家长满意度</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100%</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restar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经济成本指标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366.8万元</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366.8万元</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c>
          <w:tcPr>
            <w:tcW w:w="1157" w:type="dxa"/>
            <w:vMerge w:val="continue"/>
            <w:tcBorders>
              <w:top w:val="single" w:color="000000" w:sz="4" w:space="0"/>
              <w:left w:val="single" w:color="000000" w:sz="4" w:space="0"/>
              <w:bottom w:val="single" w:color="000000" w:sz="4" w:space="0"/>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38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社会成本指标</w:t>
            </w:r>
          </w:p>
        </w:tc>
        <w:tc>
          <w:tcPr>
            <w:tcW w:w="2173"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资金使用合规</w:t>
            </w:r>
          </w:p>
        </w:tc>
        <w:tc>
          <w:tcPr>
            <w:tcW w:w="1485"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合规</w:t>
            </w:r>
          </w:p>
        </w:tc>
        <w:tc>
          <w:tcPr>
            <w:tcW w:w="1249" w:type="dxa"/>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合规</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jc w:val="center"/>
        </w:trPr>
        <w:tc>
          <w:tcPr>
            <w:tcW w:w="8258"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合计</w:t>
            </w:r>
          </w:p>
        </w:tc>
        <w:tc>
          <w:tcPr>
            <w:tcW w:w="7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87</w:t>
            </w:r>
          </w:p>
        </w:tc>
      </w:tr>
    </w:tbl>
    <w:p>
      <w:pPr>
        <w:pStyle w:val="7"/>
        <w:spacing w:line="600" w:lineRule="exact"/>
        <w:ind w:left="0" w:leftChars="0" w:firstLine="0" w:firstLineChars="0"/>
        <w:rPr>
          <w:rFonts w:ascii="Times New Roman" w:hAnsi="Times New Roman" w:eastAsia="黑体"/>
          <w:sz w:val="32"/>
          <w:szCs w:val="32"/>
        </w:rPr>
      </w:pPr>
    </w:p>
    <w:p>
      <w:pPr>
        <w:pStyle w:val="7"/>
        <w:spacing w:line="600" w:lineRule="exact"/>
        <w:ind w:left="0" w:leftChars="0" w:firstLine="0" w:firstLineChars="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1.预算编制工作有待细化。预算编制不够明确和细化，预算编制的合理性需要提高，预算执行力度还要进一步加强。</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2.财务制度不够健全。</w:t>
      </w:r>
    </w:p>
    <w:p>
      <w:pPr>
        <w:spacing w:line="600" w:lineRule="exact"/>
        <w:ind w:firstLine="560" w:firstLineChars="200"/>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560" w:firstLineChars="200"/>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针对上述存在的问题及对外整体支出管理工作的需要，拟实施的改进措施如下：</w:t>
      </w:r>
    </w:p>
    <w:p>
      <w:pPr>
        <w:pStyle w:val="4"/>
        <w:widowControl/>
        <w:spacing w:beforeAutospacing="0" w:afterAutospacing="0" w:line="33" w:lineRule="atLeast"/>
        <w:ind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pStyle w:val="4"/>
        <w:widowControl/>
        <w:spacing w:beforeAutospacing="0" w:afterAutospacing="0" w:line="33" w:lineRule="atLeast"/>
        <w:ind w:firstLine="560" w:firstLineChars="200"/>
        <w:jc w:val="both"/>
        <w:rPr>
          <w:rFonts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2.加强财务管理，严格财务审核。进一步加强单位财务管理，健全单位财务管理制度体系，规范单位财务行为。</w:t>
      </w:r>
    </w:p>
    <w:p>
      <w:pPr>
        <w:pStyle w:val="4"/>
        <w:widowControl/>
        <w:spacing w:beforeAutospacing="0" w:afterAutospacing="0" w:line="33" w:lineRule="atLeast"/>
        <w:ind w:firstLine="560" w:firstLineChars="200"/>
        <w:jc w:val="both"/>
        <w:rPr>
          <w:rFonts w:hint="eastAsia" w:ascii="微软雅黑" w:hAnsi="微软雅黑" w:eastAsia="微软雅黑" w:cs="微软雅黑"/>
          <w:color w:val="333333"/>
        </w:rPr>
      </w:pPr>
      <w:r>
        <w:rPr>
          <w:rFonts w:hint="eastAsia" w:asciiTheme="minorEastAsia" w:hAnsiTheme="minorEastAsia" w:eastAsiaTheme="minorEastAsia" w:cstheme="minorEastAsia"/>
          <w:kern w:val="2"/>
          <w:sz w:val="28"/>
          <w:szCs w:val="28"/>
        </w:rPr>
        <w:t>3.对相关人员加强培训，特别是针对《预算法》《行政事业单位会计制度》等学习培训，规范部门预算收支核算，切实提高部门预算收支管理水平</w:t>
      </w:r>
      <w:r>
        <w:rPr>
          <w:rFonts w:hint="eastAsia" w:ascii="微软雅黑" w:hAnsi="微软雅黑" w:eastAsia="微软雅黑" w:cs="微软雅黑"/>
          <w:color w:val="333333"/>
        </w:rPr>
        <w:t>。</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黑体"/>
          <w:sz w:val="32"/>
          <w:szCs w:val="32"/>
        </w:rPr>
      </w:pPr>
      <w:r>
        <w:rPr>
          <w:rFonts w:eastAsia="黑体"/>
          <w:sz w:val="32"/>
          <w:szCs w:val="32"/>
        </w:rPr>
        <w:t>其他需要说明的情况</w:t>
      </w:r>
    </w:p>
    <w:p>
      <w:pPr>
        <w:rPr>
          <w:sz w:val="30"/>
          <w:szCs w:val="30"/>
        </w:rPr>
      </w:pPr>
    </w:p>
    <w:p/>
    <w:p>
      <w:pPr>
        <w:widowControl/>
      </w:pPr>
    </w:p>
    <w:p>
      <w:pPr>
        <w:widowControl/>
      </w:pPr>
    </w:p>
    <w:p>
      <w:pPr>
        <w:widowControl/>
      </w:pPr>
    </w:p>
    <w:p/>
    <w:p/>
    <w:p/>
    <w:p/>
    <w:p/>
    <w:p/>
    <w:p/>
    <w:p/>
    <w:p/>
    <w:p/>
    <w:p/>
    <w:p/>
    <w:p/>
    <w:p/>
    <w:p/>
    <w:p/>
    <w:p/>
    <w:p/>
    <w:p/>
    <w:p/>
    <w:p/>
    <w:p/>
    <w:p/>
    <w:p/>
    <w:p>
      <w:pPr>
        <w:spacing w:line="560" w:lineRule="exact"/>
        <w:jc w:val="center"/>
        <w:rPr>
          <w:rFonts w:eastAsia="方正小标宋_GBK"/>
          <w:kern w:val="0"/>
          <w:sz w:val="36"/>
          <w:szCs w:val="36"/>
        </w:rPr>
      </w:pPr>
      <w:r>
        <w:rPr>
          <w:rFonts w:hint="eastAsia" w:eastAsia="方正小标宋_GBK"/>
          <w:kern w:val="0"/>
          <w:sz w:val="36"/>
          <w:szCs w:val="36"/>
          <w:lang w:eastAsia="zh-CN"/>
        </w:rPr>
        <w:t>江永县桃川镇中心幼儿园</w:t>
      </w:r>
      <w:r>
        <w:rPr>
          <w:rFonts w:eastAsia="方正小标宋_GBK"/>
          <w:kern w:val="0"/>
          <w:sz w:val="36"/>
          <w:szCs w:val="36"/>
        </w:rPr>
        <w:t>部门整体支出绩效评价基础数据表</w:t>
      </w:r>
    </w:p>
    <w:p>
      <w:pPr>
        <w:widowControl/>
        <w:spacing w:line="560" w:lineRule="exact"/>
        <w:jc w:val="right"/>
        <w:rPr>
          <w:rFonts w:eastAsia="方正小标宋_GBK"/>
          <w:kern w:val="0"/>
          <w:sz w:val="36"/>
          <w:szCs w:val="36"/>
        </w:rPr>
      </w:pPr>
      <w:r>
        <w:rPr>
          <w:rFonts w:hint="eastAsia" w:eastAsia="方正小标宋_GBK"/>
          <w:kern w:val="0"/>
          <w:szCs w:val="21"/>
        </w:rPr>
        <w:t>（单位：万元）</w:t>
      </w:r>
    </w:p>
    <w:p>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Style w:val="5"/>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restart"/>
            <w:noWrap w:val="0"/>
            <w:vAlign w:val="center"/>
          </w:tcPr>
          <w:p>
            <w:pPr>
              <w:widowControl/>
              <w:jc w:val="center"/>
              <w:rPr>
                <w:rFonts w:eastAsia="仿宋_GB2312"/>
                <w:kern w:val="0"/>
                <w:szCs w:val="21"/>
              </w:rPr>
            </w:pPr>
            <w:r>
              <w:rPr>
                <w:rFonts w:eastAsia="仿宋_GB2312"/>
                <w:kern w:val="0"/>
                <w:szCs w:val="21"/>
              </w:rPr>
              <w:t>财政供养人员情况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编制数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年实际在职人数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vMerge w:val="continue"/>
            <w:noWrap w:val="0"/>
            <w:vAlign w:val="center"/>
          </w:tcPr>
          <w:p>
            <w:pPr>
              <w:widowControl/>
              <w:jc w:val="left"/>
              <w:rPr>
                <w:rFonts w:eastAsia="仿宋_GB2312"/>
                <w:kern w:val="0"/>
                <w:szCs w:val="21"/>
              </w:rPr>
            </w:pPr>
          </w:p>
        </w:tc>
        <w:tc>
          <w:tcPr>
            <w:tcW w:w="2038"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28</w:t>
            </w:r>
          </w:p>
        </w:tc>
        <w:tc>
          <w:tcPr>
            <w:tcW w:w="2240"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28</w:t>
            </w: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hint="eastAsia" w:eastAsia="仿宋_GB2312"/>
                <w:kern w:val="0"/>
                <w:szCs w:val="21"/>
                <w:lang w:val="en-US" w:eastAsia="zh-CN"/>
              </w:rPr>
              <w:t>100%</w:t>
            </w: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经费控制情况</w:t>
            </w:r>
          </w:p>
        </w:tc>
        <w:tc>
          <w:tcPr>
            <w:tcW w:w="2038"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22</w:t>
            </w:r>
            <w:r>
              <w:rPr>
                <w:rFonts w:eastAsia="仿宋_GB2312"/>
                <w:b/>
                <w:bCs/>
                <w:kern w:val="0"/>
                <w:szCs w:val="21"/>
              </w:rPr>
              <w:t>年决算数</w:t>
            </w:r>
          </w:p>
        </w:tc>
        <w:tc>
          <w:tcPr>
            <w:tcW w:w="2240"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年预算数</w:t>
            </w:r>
          </w:p>
        </w:tc>
        <w:tc>
          <w:tcPr>
            <w:tcW w:w="1832" w:type="dxa"/>
            <w:gridSpan w:val="2"/>
            <w:noWrap w:val="0"/>
            <w:vAlign w:val="center"/>
          </w:tcPr>
          <w:p>
            <w:pPr>
              <w:widowControl/>
              <w:jc w:val="center"/>
              <w:rPr>
                <w:rFonts w:eastAsia="仿宋_GB2312"/>
                <w:b/>
                <w:bCs/>
                <w:kern w:val="0"/>
                <w:szCs w:val="21"/>
              </w:rPr>
            </w:pPr>
            <w:r>
              <w:rPr>
                <w:rFonts w:eastAsia="仿宋_GB2312"/>
                <w:b/>
                <w:bCs/>
                <w:kern w:val="0"/>
                <w:szCs w:val="21"/>
              </w:rPr>
              <w:t>20</w:t>
            </w:r>
            <w:r>
              <w:rPr>
                <w:rFonts w:hint="eastAsia" w:eastAsia="仿宋_GB2312"/>
                <w:b/>
                <w:bCs/>
                <w:kern w:val="0"/>
                <w:szCs w:val="21"/>
              </w:rPr>
              <w:t>23</w:t>
            </w:r>
            <w:r>
              <w:rPr>
                <w:rFonts w:eastAsia="仿宋_GB2312"/>
                <w:b/>
                <w:bCs/>
                <w:kern w:val="0"/>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三公经费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hint="eastAsia" w:eastAsia="仿宋_GB2312"/>
                <w:kern w:val="0"/>
                <w:szCs w:val="21"/>
                <w:lang w:val="en-US" w:eastAsia="zh-CN"/>
              </w:rPr>
              <w:t>1.6</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1、公务用车购置和维护经费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其中：公车购置</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公车运行维护</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2、出国经费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3、公务接待</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eastAsia" w:eastAsia="仿宋_GB2312"/>
                <w:kern w:val="0"/>
                <w:szCs w:val="21"/>
                <w:lang w:val="en-US" w:eastAsia="zh-CN"/>
              </w:rPr>
            </w:pPr>
            <w:r>
              <w:rPr>
                <w:rFonts w:hint="eastAsia" w:eastAsia="仿宋_GB2312"/>
                <w:kern w:val="0"/>
                <w:szCs w:val="21"/>
                <w:lang w:val="en-US" w:eastAsia="zh-CN"/>
              </w:rPr>
              <w:t>1.6</w:t>
            </w:r>
            <w:r>
              <w:rPr>
                <w:rFonts w:eastAsia="仿宋_GB2312"/>
                <w:kern w:val="0"/>
                <w:szCs w:val="21"/>
              </w:rPr>
              <w:t>　</w:t>
            </w: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r>
              <w:rPr>
                <w:rFonts w:hint="eastAsia" w:eastAsia="仿宋_GB2312"/>
                <w:kern w:val="0"/>
                <w:szCs w:val="21"/>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项目支出：</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1、业务工作经费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hint="default" w:eastAsia="仿宋_GB2312"/>
                <w:kern w:val="0"/>
                <w:szCs w:val="21"/>
                <w:lang w:val="en-US" w:eastAsia="zh-CN"/>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2、运行维护经费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354" w:type="dxa"/>
            <w:noWrap w:val="0"/>
            <w:vAlign w:val="center"/>
          </w:tcPr>
          <w:p>
            <w:pPr>
              <w:widowControl/>
              <w:ind w:firstLine="420" w:firstLineChars="200"/>
              <w:jc w:val="left"/>
              <w:rPr>
                <w:rFonts w:hint="eastAsia" w:eastAsia="仿宋_GB2312"/>
                <w:kern w:val="0"/>
                <w:szCs w:val="21"/>
              </w:rPr>
            </w:pPr>
            <w:r>
              <w:rPr>
                <w:rFonts w:eastAsia="仿宋_GB2312"/>
                <w:kern w:val="0"/>
                <w:szCs w:val="21"/>
              </w:rPr>
              <w:t>3、专项资金</w:t>
            </w:r>
          </w:p>
          <w:p>
            <w:pPr>
              <w:widowControl/>
              <w:ind w:firstLine="630" w:firstLineChars="300"/>
              <w:jc w:val="left"/>
              <w:rPr>
                <w:rFonts w:eastAsia="仿宋_GB2312"/>
                <w:kern w:val="0"/>
                <w:szCs w:val="21"/>
              </w:rPr>
            </w:pPr>
            <w:r>
              <w:rPr>
                <w:rFonts w:eastAsia="仿宋_GB2312"/>
                <w:kern w:val="0"/>
                <w:szCs w:val="21"/>
              </w:rPr>
              <w:t>（一个专项一行）</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ind w:firstLine="420" w:firstLineChars="200"/>
              <w:jc w:val="left"/>
              <w:rPr>
                <w:rFonts w:eastAsia="仿宋_GB2312"/>
                <w:kern w:val="0"/>
                <w:szCs w:val="21"/>
              </w:rPr>
            </w:pPr>
            <w:r>
              <w:rPr>
                <w:rFonts w:eastAsia="仿宋_GB2312"/>
                <w:kern w:val="0"/>
                <w:szCs w:val="21"/>
              </w:rPr>
              <w:t>4、其他资金</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w:t>
            </w:r>
          </w:p>
        </w:tc>
        <w:tc>
          <w:tcPr>
            <w:tcW w:w="2038" w:type="dxa"/>
            <w:gridSpan w:val="2"/>
            <w:noWrap w:val="0"/>
            <w:vAlign w:val="center"/>
          </w:tcPr>
          <w:p>
            <w:pPr>
              <w:widowControl/>
              <w:jc w:val="center"/>
              <w:rPr>
                <w:rFonts w:eastAsia="仿宋_GB2312"/>
                <w:kern w:val="0"/>
                <w:szCs w:val="21"/>
              </w:rPr>
            </w:pPr>
          </w:p>
        </w:tc>
        <w:tc>
          <w:tcPr>
            <w:tcW w:w="2240" w:type="dxa"/>
            <w:gridSpan w:val="2"/>
            <w:noWrap w:val="0"/>
            <w:vAlign w:val="center"/>
          </w:tcPr>
          <w:p>
            <w:pPr>
              <w:widowControl/>
              <w:jc w:val="center"/>
              <w:rPr>
                <w:rFonts w:eastAsia="仿宋_GB2312"/>
                <w:kern w:val="0"/>
                <w:szCs w:val="21"/>
              </w:rPr>
            </w:pPr>
          </w:p>
        </w:tc>
        <w:tc>
          <w:tcPr>
            <w:tcW w:w="1832" w:type="dxa"/>
            <w:gridSpan w:val="2"/>
            <w:noWrap w:val="0"/>
            <w:vAlign w:val="center"/>
          </w:tcPr>
          <w:p>
            <w:pPr>
              <w:widowControl/>
              <w:jc w:val="center"/>
              <w:rPr>
                <w:rFonts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公用经费</w:t>
            </w:r>
          </w:p>
        </w:tc>
        <w:tc>
          <w:tcPr>
            <w:tcW w:w="2038" w:type="dxa"/>
            <w:gridSpan w:val="2"/>
            <w:noWrap w:val="0"/>
            <w:vAlign w:val="center"/>
          </w:tcPr>
          <w:p>
            <w:pPr>
              <w:widowControl/>
              <w:jc w:val="center"/>
              <w:rPr>
                <w:rFonts w:eastAsia="仿宋_GB2312"/>
                <w:kern w:val="0"/>
                <w:szCs w:val="21"/>
              </w:rPr>
            </w:pPr>
            <w:r>
              <w:rPr>
                <w:rFonts w:eastAsia="仿宋_GB2312"/>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kern w:val="0"/>
                <w:szCs w:val="21"/>
              </w:rPr>
            </w:pPr>
            <w:r>
              <w:rPr>
                <w:rFonts w:hint="eastAsia" w:ascii="宋体" w:hAnsi="宋体" w:eastAsia="宋体" w:cs="宋体"/>
                <w:i w:val="0"/>
                <w:iCs w:val="0"/>
                <w:color w:val="000000"/>
                <w:kern w:val="0"/>
                <w:sz w:val="22"/>
                <w:szCs w:val="22"/>
                <w:u w:val="none"/>
                <w:lang w:val="en-US" w:eastAsia="zh-CN" w:bidi="ar"/>
              </w:rPr>
              <w:t>46.41</w:t>
            </w:r>
          </w:p>
        </w:tc>
        <w:tc>
          <w:tcPr>
            <w:tcW w:w="1832" w:type="dxa"/>
            <w:gridSpan w:val="2"/>
            <w:noWrap w:val="0"/>
            <w:vAlign w:val="center"/>
          </w:tcPr>
          <w:p>
            <w:pPr>
              <w:keepNext w:val="0"/>
              <w:keepLines w:val="0"/>
              <w:widowControl/>
              <w:suppressLineNumbers w:val="0"/>
              <w:jc w:val="center"/>
              <w:textAlignment w:val="center"/>
              <w:rPr>
                <w:rFonts w:hint="default" w:eastAsia="仿宋_GB2312"/>
                <w:kern w:val="0"/>
                <w:szCs w:val="21"/>
                <w:lang w:val="en-US" w:eastAsia="zh-CN"/>
              </w:rPr>
            </w:pPr>
            <w:r>
              <w:rPr>
                <w:rFonts w:hint="eastAsia" w:ascii="宋体" w:hAnsi="宋体" w:eastAsia="宋体" w:cs="宋体"/>
                <w:i w:val="0"/>
                <w:iCs w:val="0"/>
                <w:color w:val="000000"/>
                <w:kern w:val="0"/>
                <w:sz w:val="22"/>
                <w:szCs w:val="22"/>
                <w:u w:val="none"/>
                <w:lang w:val="en-US" w:eastAsia="zh-CN" w:bidi="ar"/>
              </w:rPr>
              <w:t>46.41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其中：办公费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11.39</w:t>
            </w:r>
          </w:p>
        </w:tc>
        <w:tc>
          <w:tcPr>
            <w:tcW w:w="1832" w:type="dxa"/>
            <w:gridSpan w:val="2"/>
            <w:noWrap w:val="0"/>
            <w:vAlign w:val="center"/>
          </w:tcPr>
          <w:p>
            <w:pPr>
              <w:keepNext w:val="0"/>
              <w:keepLines w:val="0"/>
              <w:widowControl/>
              <w:suppressLineNumbers w:val="0"/>
              <w:jc w:val="center"/>
              <w:textAlignment w:val="center"/>
              <w:rPr>
                <w:rFonts w:hint="default" w:eastAsia="仿宋_GB2312"/>
                <w:color w:val="FF0000"/>
                <w:kern w:val="0"/>
                <w:szCs w:val="21"/>
                <w:lang w:val="en-US" w:eastAsia="zh-CN"/>
              </w:rPr>
            </w:pPr>
            <w:r>
              <w:rPr>
                <w:rFonts w:hint="eastAsia" w:ascii="宋体" w:hAnsi="宋体" w:eastAsia="宋体" w:cs="宋体"/>
                <w:i w:val="0"/>
                <w:iCs w:val="0"/>
                <w:color w:val="000000"/>
                <w:kern w:val="0"/>
                <w:sz w:val="22"/>
                <w:szCs w:val="22"/>
                <w:u w:val="none"/>
                <w:lang w:val="en-US" w:eastAsia="zh-CN" w:bidi="ar"/>
              </w:rP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水费、电费、差旅费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2.30</w:t>
            </w:r>
          </w:p>
        </w:tc>
        <w:tc>
          <w:tcPr>
            <w:tcW w:w="1832"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          会议费、培训费</w:t>
            </w:r>
          </w:p>
        </w:tc>
        <w:tc>
          <w:tcPr>
            <w:tcW w:w="2038" w:type="dxa"/>
            <w:gridSpan w:val="2"/>
            <w:noWrap w:val="0"/>
            <w:vAlign w:val="center"/>
          </w:tcPr>
          <w:p>
            <w:pPr>
              <w:widowControl/>
              <w:jc w:val="center"/>
              <w:rPr>
                <w:rFonts w:eastAsia="仿宋_GB2312"/>
                <w:color w:val="FF0000"/>
                <w:kern w:val="0"/>
                <w:szCs w:val="21"/>
              </w:rPr>
            </w:pPr>
            <w:r>
              <w:rPr>
                <w:rFonts w:eastAsia="仿宋_GB2312"/>
                <w:color w:val="FF0000"/>
                <w:kern w:val="0"/>
                <w:szCs w:val="21"/>
              </w:rPr>
              <w:t>　</w:t>
            </w:r>
          </w:p>
        </w:tc>
        <w:tc>
          <w:tcPr>
            <w:tcW w:w="2240" w:type="dxa"/>
            <w:gridSpan w:val="2"/>
            <w:noWrap w:val="0"/>
            <w:vAlign w:val="center"/>
          </w:tcPr>
          <w:p>
            <w:pPr>
              <w:keepNext w:val="0"/>
              <w:keepLines w:val="0"/>
              <w:widowControl/>
              <w:suppressLineNumbers w:val="0"/>
              <w:jc w:val="center"/>
              <w:textAlignment w:val="center"/>
              <w:rPr>
                <w:rFonts w:eastAsia="仿宋_GB2312"/>
                <w:color w:val="FF0000"/>
                <w:kern w:val="0"/>
                <w:szCs w:val="21"/>
              </w:rPr>
            </w:pPr>
            <w:r>
              <w:rPr>
                <w:rFonts w:hint="eastAsia" w:ascii="宋体" w:hAnsi="宋体" w:eastAsia="宋体" w:cs="宋体"/>
                <w:i w:val="0"/>
                <w:iCs w:val="0"/>
                <w:color w:val="000000"/>
                <w:kern w:val="0"/>
                <w:sz w:val="22"/>
                <w:szCs w:val="22"/>
                <w:u w:val="none"/>
                <w:lang w:val="en-US" w:eastAsia="zh-CN" w:bidi="ar"/>
              </w:rPr>
              <w:t>0.43</w:t>
            </w:r>
          </w:p>
        </w:tc>
        <w:tc>
          <w:tcPr>
            <w:tcW w:w="1832" w:type="dxa"/>
            <w:gridSpan w:val="2"/>
            <w:noWrap w:val="0"/>
            <w:vAlign w:val="center"/>
          </w:tcPr>
          <w:p>
            <w:pPr>
              <w:keepNext w:val="0"/>
              <w:keepLines w:val="0"/>
              <w:widowControl/>
              <w:suppressLineNumbers w:val="0"/>
              <w:jc w:val="center"/>
              <w:textAlignment w:val="center"/>
              <w:rPr>
                <w:rFonts w:hint="default" w:eastAsia="仿宋_GB2312"/>
                <w:color w:val="FF0000"/>
                <w:kern w:val="0"/>
                <w:szCs w:val="21"/>
                <w:lang w:val="en-US" w:eastAsia="zh-CN"/>
              </w:rPr>
            </w:pPr>
            <w:r>
              <w:rPr>
                <w:rFonts w:hint="eastAsia" w:ascii="宋体" w:hAnsi="宋体" w:eastAsia="宋体" w:cs="宋体"/>
                <w:i w:val="0"/>
                <w:iCs w:val="0"/>
                <w:color w:val="000000"/>
                <w:kern w:val="0"/>
                <w:sz w:val="22"/>
                <w:szCs w:val="22"/>
                <w:u w:val="none"/>
                <w:lang w:val="en-US" w:eastAsia="zh-CN" w:bidi="ar"/>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政府采购金额</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pPr>
              <w:widowControl/>
              <w:jc w:val="left"/>
              <w:rPr>
                <w:rFonts w:eastAsia="仿宋_GB2312"/>
                <w:kern w:val="0"/>
                <w:szCs w:val="21"/>
              </w:rPr>
            </w:pPr>
            <w:r>
              <w:rPr>
                <w:rFonts w:eastAsia="仿宋_GB2312"/>
                <w:kern w:val="0"/>
                <w:szCs w:val="21"/>
              </w:rPr>
              <w:t xml:space="preserve">部门基本支出预算调整 </w:t>
            </w:r>
          </w:p>
        </w:tc>
        <w:tc>
          <w:tcPr>
            <w:tcW w:w="2038" w:type="dxa"/>
            <w:gridSpan w:val="2"/>
            <w:noWrap w:val="0"/>
            <w:vAlign w:val="center"/>
          </w:tcPr>
          <w:p>
            <w:pPr>
              <w:widowControl/>
              <w:jc w:val="center"/>
              <w:rPr>
                <w:rFonts w:eastAsia="仿宋_GB2312"/>
                <w:kern w:val="0"/>
                <w:szCs w:val="21"/>
              </w:rPr>
            </w:pPr>
            <w:r>
              <w:rPr>
                <w:rFonts w:eastAsia="仿宋_GB2312"/>
                <w:kern w:val="0"/>
                <w:szCs w:val="21"/>
              </w:rPr>
              <w:t>——</w:t>
            </w:r>
          </w:p>
        </w:tc>
        <w:tc>
          <w:tcPr>
            <w:tcW w:w="2240" w:type="dxa"/>
            <w:gridSpan w:val="2"/>
            <w:noWrap w:val="0"/>
            <w:vAlign w:val="center"/>
          </w:tcPr>
          <w:p>
            <w:pPr>
              <w:widowControl/>
              <w:jc w:val="center"/>
              <w:rPr>
                <w:rFonts w:eastAsia="仿宋_GB2312"/>
                <w:kern w:val="0"/>
                <w:szCs w:val="21"/>
              </w:rPr>
            </w:pPr>
            <w:r>
              <w:rPr>
                <w:rFonts w:eastAsia="仿宋_GB2312"/>
                <w:kern w:val="0"/>
                <w:szCs w:val="21"/>
              </w:rPr>
              <w:t>　</w:t>
            </w:r>
          </w:p>
        </w:tc>
        <w:tc>
          <w:tcPr>
            <w:tcW w:w="1832" w:type="dxa"/>
            <w:gridSpan w:val="2"/>
            <w:noWrap w:val="0"/>
            <w:vAlign w:val="center"/>
          </w:tcPr>
          <w:p>
            <w:pPr>
              <w:widowControl/>
              <w:jc w:val="center"/>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3354" w:type="dxa"/>
            <w:vMerge w:val="restart"/>
            <w:noWrap w:val="0"/>
            <w:vAlign w:val="center"/>
          </w:tcPr>
          <w:p>
            <w:pPr>
              <w:widowControl/>
              <w:jc w:val="center"/>
              <w:rPr>
                <w:rFonts w:hint="eastAsia" w:eastAsia="仿宋_GB2312"/>
                <w:kern w:val="0"/>
                <w:szCs w:val="21"/>
              </w:rPr>
            </w:pPr>
            <w:r>
              <w:rPr>
                <w:rFonts w:eastAsia="仿宋_GB2312"/>
                <w:kern w:val="0"/>
                <w:szCs w:val="21"/>
              </w:rPr>
              <w:t>楼堂馆所控制情况</w:t>
            </w:r>
          </w:p>
          <w:p>
            <w:pPr>
              <w:widowControl/>
              <w:jc w:val="center"/>
              <w:rPr>
                <w:rFonts w:eastAsia="仿宋_GB2312"/>
                <w:kern w:val="0"/>
                <w:szCs w:val="21"/>
              </w:rPr>
            </w:pPr>
            <w:r>
              <w:rPr>
                <w:rFonts w:eastAsia="仿宋_GB2312"/>
                <w:kern w:val="0"/>
                <w:szCs w:val="21"/>
              </w:rPr>
              <w:t>（20</w:t>
            </w:r>
            <w:r>
              <w:rPr>
                <w:rFonts w:hint="eastAsia" w:eastAsia="仿宋_GB2312"/>
                <w:kern w:val="0"/>
                <w:szCs w:val="21"/>
              </w:rPr>
              <w:t>23</w:t>
            </w:r>
            <w:r>
              <w:rPr>
                <w:rFonts w:eastAsia="仿宋_GB2312"/>
                <w:kern w:val="0"/>
                <w:szCs w:val="21"/>
              </w:rPr>
              <w:t>年完工项目）</w:t>
            </w:r>
          </w:p>
        </w:tc>
        <w:tc>
          <w:tcPr>
            <w:tcW w:w="1189" w:type="dxa"/>
            <w:noWrap w:val="0"/>
            <w:vAlign w:val="center"/>
          </w:tcPr>
          <w:p>
            <w:pPr>
              <w:widowControl/>
              <w:spacing w:line="240" w:lineRule="exact"/>
              <w:jc w:val="center"/>
              <w:rPr>
                <w:rFonts w:hint="eastAsia" w:eastAsia="仿宋_GB2312"/>
                <w:bCs/>
                <w:kern w:val="0"/>
                <w:szCs w:val="21"/>
              </w:rPr>
            </w:pPr>
            <w:r>
              <w:rPr>
                <w:rFonts w:eastAsia="仿宋_GB2312"/>
                <w:bCs/>
                <w:kern w:val="0"/>
                <w:szCs w:val="21"/>
              </w:rPr>
              <w:t>批复规模</w:t>
            </w:r>
          </w:p>
          <w:p>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noWrap w:val="0"/>
            <w:vAlign w:val="center"/>
          </w:tcPr>
          <w:p>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noWrap w:val="0"/>
            <w:vAlign w:val="center"/>
          </w:tcPr>
          <w:p>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noWrap w:val="0"/>
            <w:vAlign w:val="center"/>
          </w:tcPr>
          <w:p>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noWrap w:val="0"/>
            <w:vAlign w:val="center"/>
          </w:tcPr>
          <w:p>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noWrap w:val="0"/>
            <w:vAlign w:val="center"/>
          </w:tcPr>
          <w:p>
            <w:pPr>
              <w:widowControl/>
              <w:spacing w:line="240" w:lineRule="exact"/>
              <w:jc w:val="center"/>
              <w:rPr>
                <w:rFonts w:eastAsia="仿宋_GB2312"/>
                <w:bCs/>
                <w:kern w:val="0"/>
                <w:szCs w:val="21"/>
              </w:rPr>
            </w:pPr>
            <w:r>
              <w:rPr>
                <w:rFonts w:eastAsia="仿宋_GB2312"/>
                <w:bCs/>
                <w:kern w:val="0"/>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354" w:type="dxa"/>
            <w:vMerge w:val="continue"/>
            <w:noWrap w:val="0"/>
            <w:vAlign w:val="center"/>
          </w:tcPr>
          <w:p>
            <w:pPr>
              <w:widowControl/>
              <w:jc w:val="left"/>
              <w:rPr>
                <w:rFonts w:eastAsia="仿宋_GB2312"/>
                <w:kern w:val="0"/>
                <w:szCs w:val="21"/>
              </w:rPr>
            </w:pPr>
          </w:p>
        </w:tc>
        <w:tc>
          <w:tcPr>
            <w:tcW w:w="1189" w:type="dxa"/>
            <w:noWrap w:val="0"/>
            <w:vAlign w:val="center"/>
          </w:tcPr>
          <w:p>
            <w:pPr>
              <w:widowControl/>
              <w:jc w:val="center"/>
              <w:rPr>
                <w:rFonts w:eastAsia="仿宋_GB2312"/>
                <w:kern w:val="0"/>
                <w:szCs w:val="21"/>
              </w:rPr>
            </w:pPr>
            <w:r>
              <w:rPr>
                <w:rFonts w:eastAsia="仿宋_GB2312"/>
                <w:kern w:val="0"/>
                <w:szCs w:val="21"/>
              </w:rPr>
              <w:t>　</w:t>
            </w:r>
          </w:p>
        </w:tc>
        <w:tc>
          <w:tcPr>
            <w:tcW w:w="849" w:type="dxa"/>
            <w:noWrap w:val="0"/>
            <w:vAlign w:val="center"/>
          </w:tcPr>
          <w:p>
            <w:pPr>
              <w:widowControl/>
              <w:jc w:val="left"/>
              <w:rPr>
                <w:rFonts w:eastAsia="仿宋_GB2312"/>
                <w:kern w:val="0"/>
                <w:szCs w:val="21"/>
              </w:rPr>
            </w:pPr>
            <w:r>
              <w:rPr>
                <w:rFonts w:eastAsia="仿宋_GB2312"/>
                <w:kern w:val="0"/>
                <w:szCs w:val="21"/>
              </w:rPr>
              <w:t>　</w:t>
            </w:r>
          </w:p>
        </w:tc>
        <w:tc>
          <w:tcPr>
            <w:tcW w:w="1129" w:type="dxa"/>
            <w:noWrap w:val="0"/>
            <w:vAlign w:val="center"/>
          </w:tcPr>
          <w:p>
            <w:pPr>
              <w:widowControl/>
              <w:jc w:val="left"/>
              <w:rPr>
                <w:rFonts w:eastAsia="仿宋_GB2312"/>
                <w:kern w:val="0"/>
                <w:szCs w:val="21"/>
              </w:rPr>
            </w:pPr>
            <w:r>
              <w:rPr>
                <w:rFonts w:eastAsia="仿宋_GB2312"/>
                <w:kern w:val="0"/>
                <w:szCs w:val="21"/>
              </w:rPr>
              <w:t>　</w:t>
            </w:r>
          </w:p>
        </w:tc>
        <w:tc>
          <w:tcPr>
            <w:tcW w:w="1111" w:type="dxa"/>
            <w:noWrap w:val="0"/>
            <w:vAlign w:val="center"/>
          </w:tcPr>
          <w:p>
            <w:pPr>
              <w:widowControl/>
              <w:jc w:val="left"/>
              <w:rPr>
                <w:rFonts w:eastAsia="仿宋_GB2312"/>
                <w:kern w:val="0"/>
                <w:szCs w:val="21"/>
              </w:rPr>
            </w:pPr>
            <w:r>
              <w:rPr>
                <w:rFonts w:eastAsia="仿宋_GB2312"/>
                <w:kern w:val="0"/>
                <w:szCs w:val="21"/>
              </w:rPr>
              <w:t>　</w:t>
            </w:r>
          </w:p>
        </w:tc>
        <w:tc>
          <w:tcPr>
            <w:tcW w:w="969" w:type="dxa"/>
            <w:noWrap w:val="0"/>
            <w:vAlign w:val="center"/>
          </w:tcPr>
          <w:p>
            <w:pPr>
              <w:widowControl/>
              <w:jc w:val="left"/>
              <w:rPr>
                <w:rFonts w:eastAsia="仿宋_GB2312"/>
                <w:kern w:val="0"/>
                <w:szCs w:val="21"/>
              </w:rPr>
            </w:pPr>
            <w:r>
              <w:rPr>
                <w:rFonts w:eastAsia="仿宋_GB2312"/>
                <w:kern w:val="0"/>
                <w:szCs w:val="21"/>
              </w:rPr>
              <w:t>　</w:t>
            </w:r>
          </w:p>
        </w:tc>
        <w:tc>
          <w:tcPr>
            <w:tcW w:w="863" w:type="dxa"/>
            <w:noWrap w:val="0"/>
            <w:vAlign w:val="center"/>
          </w:tcPr>
          <w:p>
            <w:pPr>
              <w:widowControl/>
              <w:jc w:val="left"/>
              <w:rPr>
                <w:rFonts w:eastAsia="仿宋_GB2312"/>
                <w:kern w:val="0"/>
                <w:szCs w:val="21"/>
              </w:rPr>
            </w:pPr>
            <w:r>
              <w:rPr>
                <w:rFonts w:eastAsia="仿宋_GB2312"/>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jc w:val="center"/>
        </w:trPr>
        <w:tc>
          <w:tcPr>
            <w:tcW w:w="3354" w:type="dxa"/>
            <w:noWrap w:val="0"/>
            <w:vAlign w:val="center"/>
          </w:tcPr>
          <w:p>
            <w:pPr>
              <w:widowControl/>
              <w:jc w:val="center"/>
              <w:rPr>
                <w:rFonts w:eastAsia="仿宋_GB2312"/>
                <w:kern w:val="0"/>
                <w:szCs w:val="21"/>
              </w:rPr>
            </w:pPr>
            <w:r>
              <w:rPr>
                <w:rFonts w:eastAsia="仿宋_GB2312"/>
                <w:kern w:val="0"/>
                <w:szCs w:val="21"/>
              </w:rPr>
              <w:t>厉行节约保障措施</w:t>
            </w:r>
          </w:p>
        </w:tc>
        <w:tc>
          <w:tcPr>
            <w:tcW w:w="6110" w:type="dxa"/>
            <w:gridSpan w:val="6"/>
            <w:noWrap w:val="0"/>
            <w:vAlign w:val="center"/>
          </w:tcPr>
          <w:p>
            <w:pPr>
              <w:widowControl/>
              <w:jc w:val="center"/>
              <w:rPr>
                <w:rFonts w:eastAsia="仿宋_GB2312"/>
                <w:kern w:val="0"/>
                <w:szCs w:val="21"/>
              </w:rPr>
            </w:pPr>
            <w:r>
              <w:rPr>
                <w:rFonts w:eastAsia="仿宋_GB2312"/>
                <w:kern w:val="0"/>
                <w:szCs w:val="21"/>
              </w:rPr>
              <w:t>　</w:t>
            </w:r>
          </w:p>
        </w:tc>
      </w:tr>
    </w:tbl>
    <w:p>
      <w:pPr>
        <w:spacing w:line="360" w:lineRule="exact"/>
        <w:rPr>
          <w:sz w:val="30"/>
          <w:szCs w:val="30"/>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sz w:val="30"/>
          <w:szCs w:val="30"/>
        </w:rPr>
        <w:t xml:space="preserve"> </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江永县桃川镇中心幼儿园</w:t>
      </w:r>
      <w:r>
        <w:rPr>
          <w:rFonts w:eastAsia="方正小标宋_GBK"/>
          <w:color w:val="000000"/>
          <w:kern w:val="0"/>
          <w:sz w:val="36"/>
          <w:szCs w:val="36"/>
        </w:rPr>
        <w:t>整体支出绩效自评表</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2023</w:t>
      </w:r>
      <w:r>
        <w:rPr>
          <w:rFonts w:eastAsia="仿宋_GB2312"/>
          <w:color w:val="000000"/>
          <w:kern w:val="0"/>
          <w:szCs w:val="21"/>
        </w:rPr>
        <w:t>年度）</w:t>
      </w:r>
    </w:p>
    <w:tbl>
      <w:tblPr>
        <w:tblStyle w:val="5"/>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1390"/>
        <w:gridCol w:w="1244"/>
        <w:gridCol w:w="1112"/>
        <w:gridCol w:w="94"/>
        <w:gridCol w:w="1197"/>
        <w:gridCol w:w="1131"/>
        <w:gridCol w:w="708"/>
        <w:gridCol w:w="93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noWrap w:val="0"/>
            <w:vAlign w:val="center"/>
          </w:tcPr>
          <w:p>
            <w:pPr>
              <w:widowControl/>
              <w:jc w:val="left"/>
              <w:rPr>
                <w:rFonts w:eastAsia="仿宋_GB2312"/>
                <w:color w:val="000000"/>
                <w:kern w:val="0"/>
                <w:szCs w:val="21"/>
              </w:rPr>
            </w:pPr>
            <w:r>
              <w:rPr>
                <w:rFonts w:eastAsia="仿宋_GB2312"/>
                <w:color w:val="000000"/>
                <w:kern w:val="0"/>
                <w:szCs w:val="21"/>
              </w:rPr>
              <w:t>省级预算部门名称</w:t>
            </w:r>
          </w:p>
        </w:tc>
        <w:tc>
          <w:tcPr>
            <w:tcW w:w="9247" w:type="dxa"/>
            <w:gridSpan w:val="9"/>
            <w:noWrap w:val="0"/>
            <w:vAlign w:val="center"/>
          </w:tcPr>
          <w:p>
            <w:pPr>
              <w:widowControl/>
              <w:jc w:val="center"/>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年度预</w:t>
            </w:r>
          </w:p>
          <w:p>
            <w:pPr>
              <w:widowControl/>
              <w:jc w:val="center"/>
              <w:rPr>
                <w:rFonts w:hint="eastAsia" w:eastAsia="仿宋_GB2312"/>
                <w:color w:val="000000"/>
                <w:kern w:val="0"/>
                <w:szCs w:val="21"/>
              </w:rPr>
            </w:pPr>
            <w:r>
              <w:rPr>
                <w:rFonts w:eastAsia="仿宋_GB2312"/>
                <w:color w:val="000000"/>
                <w:kern w:val="0"/>
                <w:szCs w:val="21"/>
              </w:rPr>
              <w:t>算申请</w:t>
            </w:r>
          </w:p>
          <w:p>
            <w:pPr>
              <w:widowControl/>
              <w:jc w:val="center"/>
              <w:rPr>
                <w:rFonts w:eastAsia="仿宋_GB2312"/>
                <w:color w:val="000000"/>
                <w:kern w:val="0"/>
                <w:szCs w:val="21"/>
              </w:rPr>
            </w:pPr>
            <w:r>
              <w:rPr>
                <w:rFonts w:eastAsia="仿宋_GB2312"/>
                <w:color w:val="000000"/>
                <w:kern w:val="0"/>
                <w:szCs w:val="21"/>
              </w:rPr>
              <w:t>（万元）</w:t>
            </w:r>
          </w:p>
        </w:tc>
        <w:tc>
          <w:tcPr>
            <w:tcW w:w="2634" w:type="dxa"/>
            <w:gridSpan w:val="2"/>
            <w:noWrap w:val="0"/>
            <w:vAlign w:val="center"/>
          </w:tcPr>
          <w:p>
            <w:pPr>
              <w:jc w:val="center"/>
              <w:rPr>
                <w:rFonts w:eastAsia="仿宋_GB2312"/>
                <w:szCs w:val="21"/>
              </w:rPr>
            </w:pPr>
          </w:p>
        </w:tc>
        <w:tc>
          <w:tcPr>
            <w:tcW w:w="1112" w:type="dxa"/>
            <w:noWrap w:val="0"/>
            <w:vAlign w:val="center"/>
          </w:tcPr>
          <w:p>
            <w:pPr>
              <w:jc w:val="center"/>
              <w:rPr>
                <w:rFonts w:hint="eastAsia" w:eastAsia="仿宋_GB2312"/>
                <w:szCs w:val="21"/>
              </w:rPr>
            </w:pPr>
            <w:r>
              <w:rPr>
                <w:rFonts w:eastAsia="仿宋_GB2312"/>
                <w:szCs w:val="21"/>
              </w:rPr>
              <w:t>年初</w:t>
            </w:r>
          </w:p>
          <w:p>
            <w:pPr>
              <w:jc w:val="center"/>
              <w:rPr>
                <w:rFonts w:eastAsia="仿宋_GB2312"/>
                <w:szCs w:val="21"/>
              </w:rPr>
            </w:pPr>
            <w:r>
              <w:rPr>
                <w:rFonts w:eastAsia="仿宋_GB2312"/>
                <w:szCs w:val="21"/>
              </w:rPr>
              <w:t>预算数</w:t>
            </w:r>
          </w:p>
        </w:tc>
        <w:tc>
          <w:tcPr>
            <w:tcW w:w="1291" w:type="dxa"/>
            <w:gridSpan w:val="2"/>
            <w:noWrap w:val="0"/>
            <w:vAlign w:val="center"/>
          </w:tcPr>
          <w:p>
            <w:pPr>
              <w:jc w:val="center"/>
              <w:rPr>
                <w:rFonts w:eastAsia="仿宋_GB2312"/>
                <w:szCs w:val="21"/>
              </w:rPr>
            </w:pPr>
            <w:r>
              <w:rPr>
                <w:rFonts w:eastAsia="仿宋_GB2312"/>
                <w:szCs w:val="21"/>
              </w:rPr>
              <w:t>全年预算数</w:t>
            </w:r>
          </w:p>
        </w:tc>
        <w:tc>
          <w:tcPr>
            <w:tcW w:w="1131" w:type="dxa"/>
            <w:noWrap w:val="0"/>
            <w:vAlign w:val="center"/>
          </w:tcPr>
          <w:p>
            <w:pPr>
              <w:jc w:val="center"/>
              <w:rPr>
                <w:rFonts w:hint="eastAsia" w:eastAsia="仿宋_GB2312"/>
                <w:szCs w:val="21"/>
              </w:rPr>
            </w:pPr>
            <w:r>
              <w:rPr>
                <w:rFonts w:eastAsia="仿宋_GB2312"/>
                <w:szCs w:val="21"/>
              </w:rPr>
              <w:t>全年</w:t>
            </w:r>
          </w:p>
          <w:p>
            <w:pPr>
              <w:jc w:val="center"/>
              <w:rPr>
                <w:rFonts w:eastAsia="仿宋_GB2312"/>
                <w:szCs w:val="21"/>
              </w:rPr>
            </w:pPr>
            <w:r>
              <w:rPr>
                <w:rFonts w:eastAsia="仿宋_GB2312"/>
                <w:szCs w:val="21"/>
              </w:rPr>
              <w:t>执行数</w:t>
            </w:r>
          </w:p>
        </w:tc>
        <w:tc>
          <w:tcPr>
            <w:tcW w:w="708" w:type="dxa"/>
            <w:noWrap w:val="0"/>
            <w:vAlign w:val="center"/>
          </w:tcPr>
          <w:p>
            <w:pPr>
              <w:jc w:val="center"/>
              <w:rPr>
                <w:rFonts w:eastAsia="仿宋_GB2312"/>
                <w:szCs w:val="21"/>
              </w:rPr>
            </w:pPr>
            <w:r>
              <w:rPr>
                <w:rFonts w:eastAsia="仿宋_GB2312"/>
                <w:szCs w:val="21"/>
              </w:rPr>
              <w:t>分值</w:t>
            </w:r>
          </w:p>
        </w:tc>
        <w:tc>
          <w:tcPr>
            <w:tcW w:w="933" w:type="dxa"/>
            <w:noWrap w:val="0"/>
            <w:vAlign w:val="center"/>
          </w:tcPr>
          <w:p>
            <w:pPr>
              <w:jc w:val="center"/>
              <w:rPr>
                <w:rFonts w:eastAsia="仿宋_GB2312"/>
                <w:szCs w:val="21"/>
              </w:rPr>
            </w:pPr>
            <w:r>
              <w:rPr>
                <w:rFonts w:eastAsia="仿宋_GB2312"/>
                <w:szCs w:val="21"/>
              </w:rPr>
              <w:t>执行率</w:t>
            </w:r>
          </w:p>
        </w:tc>
        <w:tc>
          <w:tcPr>
            <w:tcW w:w="1438" w:type="dxa"/>
            <w:noWrap w:val="0"/>
            <w:vAlign w:val="center"/>
          </w:tcPr>
          <w:p>
            <w:pPr>
              <w:jc w:val="center"/>
              <w:rPr>
                <w:rFonts w:eastAsia="仿宋_GB2312"/>
                <w:szCs w:val="21"/>
              </w:rPr>
            </w:pPr>
            <w:r>
              <w:rPr>
                <w:rFonts w:eastAsia="仿宋_GB2312"/>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center"/>
              <w:rPr>
                <w:rFonts w:eastAsia="仿宋_GB2312"/>
                <w:color w:val="000000"/>
                <w:kern w:val="0"/>
                <w:szCs w:val="21"/>
              </w:rPr>
            </w:pPr>
          </w:p>
        </w:tc>
        <w:tc>
          <w:tcPr>
            <w:tcW w:w="2634" w:type="dxa"/>
            <w:gridSpan w:val="2"/>
            <w:noWrap w:val="0"/>
            <w:vAlign w:val="center"/>
          </w:tcPr>
          <w:p>
            <w:pPr>
              <w:jc w:val="center"/>
              <w:rPr>
                <w:rFonts w:eastAsia="仿宋_GB2312"/>
                <w:szCs w:val="21"/>
              </w:rPr>
            </w:pPr>
            <w:r>
              <w:rPr>
                <w:rFonts w:eastAsia="仿宋_GB2312"/>
                <w:color w:val="000000"/>
                <w:kern w:val="0"/>
                <w:szCs w:val="21"/>
              </w:rPr>
              <w:t>年度资金总额</w:t>
            </w:r>
          </w:p>
        </w:tc>
        <w:tc>
          <w:tcPr>
            <w:tcW w:w="1112"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182.76</w:t>
            </w:r>
          </w:p>
        </w:tc>
        <w:tc>
          <w:tcPr>
            <w:tcW w:w="1291" w:type="dxa"/>
            <w:gridSpan w:val="2"/>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366.80</w:t>
            </w:r>
          </w:p>
        </w:tc>
        <w:tc>
          <w:tcPr>
            <w:tcW w:w="1131"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366.80</w:t>
            </w:r>
          </w:p>
        </w:tc>
        <w:tc>
          <w:tcPr>
            <w:tcW w:w="708"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100.00%</w:t>
            </w:r>
          </w:p>
        </w:tc>
        <w:tc>
          <w:tcPr>
            <w:tcW w:w="1438" w:type="dxa"/>
            <w:noWrap w:val="0"/>
            <w:vAlign w:val="center"/>
          </w:tcPr>
          <w:p>
            <w:pPr>
              <w:keepNext w:val="0"/>
              <w:keepLines w:val="0"/>
              <w:widowControl/>
              <w:suppressLineNumbers w:val="0"/>
              <w:jc w:val="center"/>
              <w:textAlignment w:val="center"/>
              <w:rPr>
                <w:rFonts w:eastAsia="仿宋_GB2312"/>
                <w:szCs w:val="21"/>
              </w:rPr>
            </w:pPr>
            <w:r>
              <w:rPr>
                <w:rFonts w:hint="default" w:ascii="Times New Roman" w:hAnsi="Times New Roman" w:eastAsia="宋体" w:cs="Times New Roman"/>
                <w:i w:val="0"/>
                <w:iCs w:val="0"/>
                <w:color w:val="000000"/>
                <w:kern w:val="0"/>
                <w:sz w:val="20"/>
                <w:szCs w:val="20"/>
                <w:u w:val="none"/>
                <w:lang w:val="en-US" w:eastAsia="zh-CN" w:bidi="ar"/>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left"/>
              <w:rPr>
                <w:rFonts w:eastAsia="仿宋_GB2312"/>
                <w:color w:val="000000"/>
                <w:kern w:val="0"/>
                <w:szCs w:val="21"/>
              </w:rPr>
            </w:pPr>
            <w:r>
              <w:rPr>
                <w:rFonts w:eastAsia="仿宋_GB2312"/>
                <w:color w:val="000000"/>
                <w:kern w:val="0"/>
                <w:szCs w:val="21"/>
              </w:rPr>
              <w:t>按收入性质分：</w:t>
            </w:r>
          </w:p>
        </w:tc>
        <w:tc>
          <w:tcPr>
            <w:tcW w:w="4210" w:type="dxa"/>
            <w:gridSpan w:val="4"/>
            <w:noWrap w:val="0"/>
            <w:vAlign w:val="center"/>
          </w:tcPr>
          <w:p>
            <w:pPr>
              <w:widowControl/>
              <w:jc w:val="left"/>
              <w:rPr>
                <w:rFonts w:eastAsia="仿宋_GB2312"/>
                <w:color w:val="000000"/>
                <w:kern w:val="0"/>
                <w:szCs w:val="21"/>
              </w:rPr>
            </w:pPr>
            <w:r>
              <w:rPr>
                <w:rFonts w:eastAsia="仿宋_GB2312"/>
                <w:color w:val="000000"/>
                <w:kern w:val="0"/>
                <w:szCs w:val="21"/>
              </w:rPr>
              <w:t>按支出性质分：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366.8</w:t>
            </w:r>
          </w:p>
        </w:tc>
        <w:tc>
          <w:tcPr>
            <w:tcW w:w="4210" w:type="dxa"/>
            <w:gridSpan w:val="4"/>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366.80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ind w:firstLine="840" w:firstLineChars="400"/>
              <w:jc w:val="left"/>
              <w:rPr>
                <w:rFonts w:eastAsia="仿宋_GB2312"/>
                <w:color w:val="000000"/>
                <w:kern w:val="0"/>
                <w:szCs w:val="21"/>
              </w:rPr>
            </w:pPr>
            <w:r>
              <w:rPr>
                <w:rFonts w:eastAsia="仿宋_GB2312"/>
                <w:color w:val="000000"/>
                <w:kern w:val="0"/>
                <w:szCs w:val="21"/>
              </w:rPr>
              <w:t>政府性基金拨款：</w:t>
            </w:r>
          </w:p>
        </w:tc>
        <w:tc>
          <w:tcPr>
            <w:tcW w:w="4210" w:type="dxa"/>
            <w:gridSpan w:val="4"/>
            <w:noWrap w:val="0"/>
            <w:vAlign w:val="center"/>
          </w:tcPr>
          <w:p>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left"/>
              <w:rPr>
                <w:rFonts w:eastAsia="仿宋_GB2312"/>
                <w:color w:val="000000"/>
                <w:kern w:val="0"/>
                <w:szCs w:val="21"/>
              </w:rPr>
            </w:pPr>
            <w:r>
              <w:rPr>
                <w:rFonts w:eastAsia="仿宋_GB2312"/>
                <w:color w:val="000000"/>
                <w:kern w:val="0"/>
                <w:szCs w:val="21"/>
              </w:rPr>
              <w:t>纳入专户管理的非税收入拨款：</w:t>
            </w:r>
          </w:p>
        </w:tc>
        <w:tc>
          <w:tcPr>
            <w:tcW w:w="4210"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ind w:firstLine="1470" w:firstLineChars="700"/>
              <w:jc w:val="left"/>
              <w:rPr>
                <w:rFonts w:eastAsia="仿宋_GB2312"/>
                <w:color w:val="000000"/>
                <w:kern w:val="0"/>
                <w:szCs w:val="21"/>
              </w:rPr>
            </w:pPr>
            <w:r>
              <w:rPr>
                <w:rFonts w:eastAsia="仿宋_GB2312"/>
                <w:color w:val="000000"/>
                <w:kern w:val="0"/>
                <w:szCs w:val="21"/>
              </w:rPr>
              <w:t>其他资金：</w:t>
            </w:r>
          </w:p>
        </w:tc>
        <w:tc>
          <w:tcPr>
            <w:tcW w:w="4210" w:type="dxa"/>
            <w:gridSpan w:val="4"/>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年度总体目标</w:t>
            </w:r>
          </w:p>
        </w:tc>
        <w:tc>
          <w:tcPr>
            <w:tcW w:w="5037" w:type="dxa"/>
            <w:gridSpan w:val="5"/>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10" w:type="dxa"/>
            <w:gridSpan w:val="4"/>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76" w:type="dxa"/>
            <w:vMerge w:val="continue"/>
            <w:noWrap w:val="0"/>
            <w:vAlign w:val="center"/>
          </w:tcPr>
          <w:p>
            <w:pPr>
              <w:widowControl/>
              <w:jc w:val="left"/>
              <w:rPr>
                <w:rFonts w:eastAsia="仿宋_GB2312"/>
                <w:color w:val="000000"/>
                <w:kern w:val="0"/>
                <w:szCs w:val="21"/>
              </w:rPr>
            </w:pPr>
          </w:p>
        </w:tc>
        <w:tc>
          <w:tcPr>
            <w:tcW w:w="5037" w:type="dxa"/>
            <w:gridSpan w:val="5"/>
            <w:noWrap w:val="0"/>
            <w:vAlign w:val="center"/>
          </w:tcPr>
          <w:p>
            <w:pPr>
              <w:widowControl/>
              <w:jc w:val="center"/>
              <w:rPr>
                <w:rFonts w:eastAsia="仿宋_GB2312"/>
                <w:color w:val="000000"/>
                <w:kern w:val="0"/>
                <w:szCs w:val="21"/>
              </w:rPr>
            </w:pPr>
            <w:r>
              <w:rPr>
                <w:rFonts w:hint="eastAsia" w:eastAsia="仿宋_GB2312"/>
                <w:color w:val="000000"/>
                <w:kern w:val="0"/>
                <w:szCs w:val="21"/>
              </w:rPr>
              <w:t>按照国家政策法规规定和本单位实际情况，建立健全财务基础制度和约束机制，依法、有效地使用财政资金，提高财政至今使用效率，在完成单位职能目标中合理分配人、财、物，使之达到较高的工作效率和水平。</w:t>
            </w:r>
            <w:r>
              <w:rPr>
                <w:rFonts w:eastAsia="仿宋_GB2312"/>
                <w:color w:val="000000"/>
                <w:kern w:val="0"/>
                <w:szCs w:val="21"/>
              </w:rPr>
              <w:t>　　</w:t>
            </w:r>
          </w:p>
        </w:tc>
        <w:tc>
          <w:tcPr>
            <w:tcW w:w="4210" w:type="dxa"/>
            <w:gridSpan w:val="4"/>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rPr>
              <w:t>全面完成。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6"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1390"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44"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6" w:type="dxa"/>
            <w:gridSpan w:val="2"/>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97"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1" w:type="dxa"/>
            <w:noWrap w:val="0"/>
            <w:vAlign w:val="center"/>
          </w:tcPr>
          <w:p>
            <w:pPr>
              <w:widowControl/>
              <w:spacing w:line="240" w:lineRule="exact"/>
              <w:jc w:val="center"/>
              <w:rPr>
                <w:rFonts w:hint="eastAsia"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8"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933" w:type="dxa"/>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38" w:type="dxa"/>
            <w:noWrap w:val="0"/>
            <w:vAlign w:val="top"/>
          </w:tcPr>
          <w:p>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noWrap w:val="0"/>
            <w:vAlign w:val="center"/>
          </w:tcPr>
          <w:p>
            <w:pPr>
              <w:widowControl/>
              <w:jc w:val="center"/>
              <w:rPr>
                <w:rFonts w:eastAsia="仿宋_GB2312"/>
                <w:color w:val="000000"/>
                <w:kern w:val="0"/>
                <w:szCs w:val="21"/>
              </w:rPr>
            </w:pPr>
          </w:p>
        </w:tc>
        <w:tc>
          <w:tcPr>
            <w:tcW w:w="1244"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数量</w:t>
            </w:r>
          </w:p>
          <w:p>
            <w:pPr>
              <w:widowControl/>
              <w:jc w:val="center"/>
              <w:rPr>
                <w:rFonts w:eastAsia="仿宋_GB2312"/>
                <w:color w:val="000000"/>
                <w:kern w:val="0"/>
                <w:szCs w:val="21"/>
              </w:rPr>
            </w:pPr>
            <w:r>
              <w:rPr>
                <w:rFonts w:eastAsia="仿宋_GB2312"/>
                <w:color w:val="000000"/>
                <w:kern w:val="0"/>
                <w:szCs w:val="21"/>
              </w:rPr>
              <w:t>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教师培训人次</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2次</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2次</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产出指标</w:t>
            </w:r>
          </w:p>
          <w:p>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30</w:t>
            </w:r>
            <w:r>
              <w:rPr>
                <w:rFonts w:eastAsia="仿宋_GB2312"/>
                <w:color w:val="000000"/>
                <w:kern w:val="0"/>
                <w:szCs w:val="21"/>
              </w:rPr>
              <w:t>分)</w:t>
            </w:r>
          </w:p>
        </w:tc>
        <w:tc>
          <w:tcPr>
            <w:tcW w:w="1244" w:type="dxa"/>
            <w:vMerge w:val="continue"/>
            <w:noWrap w:val="0"/>
            <w:vAlign w:val="center"/>
          </w:tcPr>
          <w:p>
            <w:pPr>
              <w:widowControl/>
              <w:jc w:val="center"/>
              <w:rPr>
                <w:rFonts w:eastAsia="仿宋_GB2312"/>
                <w:color w:val="000000"/>
                <w:kern w:val="0"/>
                <w:szCs w:val="21"/>
              </w:rPr>
            </w:pP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教师考核人数</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28人</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28人</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eastAsia="仿宋_GB2312"/>
                <w:color w:val="000000"/>
                <w:kern w:val="0"/>
                <w:szCs w:val="21"/>
                <w:lang w:val="en-US"/>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质量</w:t>
            </w:r>
          </w:p>
          <w:p>
            <w:pPr>
              <w:widowControl/>
              <w:jc w:val="center"/>
              <w:rPr>
                <w:rFonts w:eastAsia="仿宋_GB2312"/>
                <w:color w:val="000000"/>
                <w:kern w:val="0"/>
                <w:szCs w:val="21"/>
              </w:rPr>
            </w:pPr>
            <w:r>
              <w:rPr>
                <w:rFonts w:eastAsia="仿宋_GB2312"/>
                <w:color w:val="000000"/>
                <w:kern w:val="0"/>
                <w:szCs w:val="21"/>
              </w:rPr>
              <w:t>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幼儿园系统完成率</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100%</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100%</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vMerge w:val="continue"/>
            <w:noWrap w:val="0"/>
            <w:vAlign w:val="center"/>
          </w:tcPr>
          <w:p>
            <w:pPr>
              <w:widowControl/>
              <w:jc w:val="center"/>
              <w:rPr>
                <w:rFonts w:eastAsia="仿宋_GB2312"/>
                <w:color w:val="000000"/>
                <w:kern w:val="0"/>
                <w:szCs w:val="21"/>
              </w:rPr>
            </w:pP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考核、培训完成率</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100%</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100%</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5</w:t>
            </w:r>
          </w:p>
        </w:tc>
        <w:tc>
          <w:tcPr>
            <w:tcW w:w="933" w:type="dxa"/>
            <w:noWrap w:val="0"/>
            <w:vAlign w:val="center"/>
          </w:tcPr>
          <w:p>
            <w:pPr>
              <w:keepNext w:val="0"/>
              <w:keepLines w:val="0"/>
              <w:widowControl/>
              <w:suppressLineNumbers w:val="0"/>
              <w:jc w:val="left"/>
              <w:textAlignment w:val="center"/>
              <w:rPr>
                <w:rFonts w:hint="default" w:eastAsia="仿宋_GB2312"/>
                <w:color w:val="000000"/>
                <w:kern w:val="0"/>
                <w:szCs w:val="21"/>
                <w:lang w:val="en-US"/>
              </w:rPr>
            </w:pPr>
            <w:r>
              <w:rPr>
                <w:rFonts w:hint="default" w:ascii="仿宋_GB2312" w:hAnsi="宋体" w:eastAsia="仿宋_GB2312" w:cs="仿宋_GB2312"/>
                <w:i w:val="0"/>
                <w:iCs w:val="0"/>
                <w:color w:val="000000"/>
                <w:kern w:val="0"/>
                <w:sz w:val="20"/>
                <w:szCs w:val="20"/>
                <w:u w:val="none"/>
                <w:lang w:val="en-US" w:eastAsia="zh-CN" w:bidi="ar"/>
              </w:rPr>
              <w:t>5</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noWrap w:val="0"/>
            <w:vAlign w:val="center"/>
          </w:tcPr>
          <w:p>
            <w:pPr>
              <w:widowControl/>
              <w:jc w:val="center"/>
              <w:rPr>
                <w:rFonts w:eastAsia="仿宋_GB2312"/>
                <w:color w:val="000000"/>
                <w:kern w:val="0"/>
                <w:szCs w:val="21"/>
              </w:rPr>
            </w:pPr>
            <w:r>
              <w:rPr>
                <w:rFonts w:eastAsia="仿宋_GB2312"/>
                <w:color w:val="000000"/>
                <w:kern w:val="0"/>
                <w:szCs w:val="21"/>
              </w:rPr>
              <w:t>时效</w:t>
            </w:r>
          </w:p>
          <w:p>
            <w:pPr>
              <w:widowControl/>
              <w:jc w:val="center"/>
              <w:rPr>
                <w:rFonts w:eastAsia="仿宋_GB2312"/>
                <w:color w:val="000000"/>
                <w:kern w:val="0"/>
                <w:szCs w:val="21"/>
              </w:rPr>
            </w:pPr>
            <w:r>
              <w:rPr>
                <w:rFonts w:eastAsia="仿宋_GB2312"/>
                <w:color w:val="000000"/>
                <w:kern w:val="0"/>
                <w:szCs w:val="21"/>
              </w:rPr>
              <w:t>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完成时间</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2023年年内</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2023年年内</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restart"/>
            <w:noWrap w:val="0"/>
            <w:vAlign w:val="center"/>
          </w:tcPr>
          <w:p>
            <w:pPr>
              <w:widowControl/>
              <w:jc w:val="center"/>
              <w:rPr>
                <w:rFonts w:eastAsia="仿宋_GB2312"/>
                <w:color w:val="000000"/>
                <w:kern w:val="0"/>
                <w:szCs w:val="21"/>
              </w:rPr>
            </w:pPr>
            <w:r>
              <w:rPr>
                <w:rFonts w:eastAsia="仿宋_GB2312"/>
                <w:color w:val="000000"/>
                <w:kern w:val="0"/>
                <w:szCs w:val="21"/>
              </w:rPr>
              <w:t>效益指标</w:t>
            </w:r>
          </w:p>
          <w:p>
            <w:pPr>
              <w:widowControl/>
              <w:ind w:firstLine="210" w:firstLineChars="100"/>
              <w:jc w:val="left"/>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30</w:t>
            </w:r>
            <w:r>
              <w:rPr>
                <w:rFonts w:eastAsia="仿宋_GB2312"/>
                <w:color w:val="000000"/>
                <w:kern w:val="0"/>
                <w:szCs w:val="21"/>
              </w:rPr>
              <w:t>分）　</w:t>
            </w:r>
          </w:p>
        </w:tc>
        <w:tc>
          <w:tcPr>
            <w:tcW w:w="1244" w:type="dxa"/>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经济效益指标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提高幼师队伍生活质量</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提高幼师队伍生活质量</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提高幼师队伍生活质量</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noWrap w:val="0"/>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社会效益指标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促进全园师生全面发展</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促进全园师生全面发展</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促进全园师生全面发展</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center"/>
              <w:rPr>
                <w:rFonts w:eastAsia="仿宋_GB2312"/>
                <w:color w:val="000000"/>
                <w:kern w:val="0"/>
                <w:szCs w:val="21"/>
              </w:rPr>
            </w:pPr>
          </w:p>
        </w:tc>
        <w:tc>
          <w:tcPr>
            <w:tcW w:w="1390" w:type="dxa"/>
            <w:vMerge w:val="continue"/>
            <w:noWrap w:val="0"/>
            <w:vAlign w:val="center"/>
          </w:tcPr>
          <w:p>
            <w:pPr>
              <w:jc w:val="left"/>
              <w:rPr>
                <w:rFonts w:eastAsia="仿宋_GB2312"/>
                <w:color w:val="000000"/>
                <w:kern w:val="0"/>
                <w:szCs w:val="21"/>
              </w:rPr>
            </w:pPr>
          </w:p>
        </w:tc>
        <w:tc>
          <w:tcPr>
            <w:tcW w:w="1244" w:type="dxa"/>
            <w:noWrap w:val="0"/>
            <w:vAlign w:val="center"/>
          </w:tcPr>
          <w:p>
            <w:pPr>
              <w:widowControl/>
              <w:jc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生态效益指标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幼儿园环境改善</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改善</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改善</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w:t>
            </w:r>
          </w:p>
        </w:tc>
        <w:tc>
          <w:tcPr>
            <w:tcW w:w="1438" w:type="dxa"/>
            <w:noWrap w:val="0"/>
            <w:vAlign w:val="center"/>
          </w:tcPr>
          <w:p>
            <w:pPr>
              <w:keepNext w:val="0"/>
              <w:keepLines w:val="0"/>
              <w:widowControl/>
              <w:suppressLineNumbers w:val="0"/>
              <w:jc w:val="left"/>
              <w:textAlignment w:val="center"/>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left"/>
              <w:rPr>
                <w:rFonts w:eastAsia="仿宋_GB2312"/>
                <w:color w:val="000000"/>
                <w:kern w:val="0"/>
                <w:szCs w:val="21"/>
              </w:rPr>
            </w:pPr>
          </w:p>
        </w:tc>
        <w:tc>
          <w:tcPr>
            <w:tcW w:w="1390" w:type="dxa"/>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44" w:type="dxa"/>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06" w:type="dxa"/>
            <w:gridSpan w:val="2"/>
            <w:noWrap w:val="0"/>
            <w:vAlign w:val="center"/>
          </w:tcPr>
          <w:p>
            <w:pPr>
              <w:keepNext w:val="0"/>
              <w:keepLines w:val="0"/>
              <w:widowControl/>
              <w:suppressLineNumbers w:val="0"/>
              <w:jc w:val="center"/>
              <w:textAlignment w:val="center"/>
              <w:rPr>
                <w:rFonts w:eastAsia="仿宋_GB2312"/>
                <w:color w:val="000000"/>
                <w:kern w:val="0"/>
                <w:szCs w:val="21"/>
              </w:rPr>
            </w:pPr>
            <w:r>
              <w:rPr>
                <w:rFonts w:hint="eastAsia" w:ascii="仿宋" w:hAnsi="仿宋" w:eastAsia="仿宋" w:cs="仿宋"/>
                <w:i w:val="0"/>
                <w:iCs w:val="0"/>
                <w:color w:val="000000"/>
                <w:kern w:val="0"/>
                <w:sz w:val="20"/>
                <w:szCs w:val="20"/>
                <w:u w:val="none"/>
                <w:lang w:val="en-US" w:eastAsia="zh-CN" w:bidi="ar"/>
              </w:rPr>
              <w:t>家长满意度</w:t>
            </w:r>
          </w:p>
        </w:tc>
        <w:tc>
          <w:tcPr>
            <w:tcW w:w="1197"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≥90%</w:t>
            </w:r>
          </w:p>
        </w:tc>
        <w:tc>
          <w:tcPr>
            <w:tcW w:w="1131"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94%</w:t>
            </w:r>
          </w:p>
        </w:tc>
        <w:tc>
          <w:tcPr>
            <w:tcW w:w="708" w:type="dxa"/>
            <w:noWrap w:val="0"/>
            <w:vAlign w:val="center"/>
          </w:tcPr>
          <w:p>
            <w:pPr>
              <w:keepNext w:val="0"/>
              <w:keepLines w:val="0"/>
              <w:widowControl/>
              <w:suppressLineNumbers w:val="0"/>
              <w:jc w:val="center"/>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left"/>
              <w:rPr>
                <w:rFonts w:eastAsia="仿宋_GB2312"/>
                <w:color w:val="000000"/>
                <w:kern w:val="0"/>
                <w:szCs w:val="21"/>
              </w:rPr>
            </w:pPr>
          </w:p>
        </w:tc>
        <w:tc>
          <w:tcPr>
            <w:tcW w:w="1390" w:type="dxa"/>
            <w:vMerge w:val="restart"/>
            <w:noWrap w:val="0"/>
            <w:vAlign w:val="center"/>
          </w:tcPr>
          <w:p>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成本指标</w:t>
            </w:r>
          </w:p>
          <w:p>
            <w:pPr>
              <w:widowControl/>
              <w:jc w:val="center"/>
              <w:rPr>
                <w:rFonts w:hint="eastAsia" w:eastAsia="仿宋_GB2312"/>
                <w:color w:val="000000"/>
                <w:kern w:val="0"/>
                <w:szCs w:val="21"/>
                <w:lang w:eastAsia="zh-CN"/>
              </w:rPr>
            </w:pPr>
            <w:r>
              <w:rPr>
                <w:rFonts w:eastAsia="仿宋_GB2312"/>
                <w:color w:val="000000"/>
                <w:kern w:val="0"/>
                <w:szCs w:val="21"/>
              </w:rPr>
              <w:t>（</w:t>
            </w:r>
            <w:r>
              <w:rPr>
                <w:rFonts w:hint="eastAsia" w:eastAsia="仿宋_GB2312"/>
                <w:color w:val="000000"/>
                <w:kern w:val="0"/>
                <w:szCs w:val="21"/>
                <w:lang w:val="en-US" w:eastAsia="zh-CN"/>
              </w:rPr>
              <w:t>20</w:t>
            </w:r>
            <w:r>
              <w:rPr>
                <w:rFonts w:eastAsia="仿宋_GB2312"/>
                <w:color w:val="000000"/>
                <w:kern w:val="0"/>
                <w:szCs w:val="21"/>
              </w:rPr>
              <w:t>分）</w:t>
            </w:r>
          </w:p>
        </w:tc>
        <w:tc>
          <w:tcPr>
            <w:tcW w:w="1244" w:type="dxa"/>
            <w:noWrap w:val="0"/>
            <w:vAlign w:val="center"/>
          </w:tcPr>
          <w:p>
            <w:pPr>
              <w:keepNext w:val="0"/>
              <w:keepLines w:val="0"/>
              <w:widowControl/>
              <w:suppressLineNumbers w:val="0"/>
              <w:jc w:val="left"/>
              <w:textAlignment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经济成本指标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基本支出</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366.8万元</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366.8万元</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6" w:type="dxa"/>
            <w:vMerge w:val="continue"/>
            <w:noWrap w:val="0"/>
            <w:vAlign w:val="center"/>
          </w:tcPr>
          <w:p>
            <w:pPr>
              <w:jc w:val="left"/>
              <w:rPr>
                <w:rFonts w:eastAsia="仿宋_GB2312"/>
                <w:color w:val="000000"/>
                <w:kern w:val="0"/>
                <w:szCs w:val="21"/>
              </w:rPr>
            </w:pPr>
          </w:p>
        </w:tc>
        <w:tc>
          <w:tcPr>
            <w:tcW w:w="1390" w:type="dxa"/>
            <w:vMerge w:val="continue"/>
            <w:noWrap w:val="0"/>
            <w:vAlign w:val="center"/>
          </w:tcPr>
          <w:p>
            <w:pPr>
              <w:widowControl/>
              <w:jc w:val="center"/>
              <w:rPr>
                <w:rFonts w:eastAsia="仿宋_GB2312"/>
                <w:color w:val="000000"/>
                <w:kern w:val="0"/>
                <w:szCs w:val="21"/>
              </w:rPr>
            </w:pPr>
          </w:p>
        </w:tc>
        <w:tc>
          <w:tcPr>
            <w:tcW w:w="1244" w:type="dxa"/>
            <w:noWrap w:val="0"/>
            <w:vAlign w:val="center"/>
          </w:tcPr>
          <w:p>
            <w:pPr>
              <w:keepNext w:val="0"/>
              <w:keepLines w:val="0"/>
              <w:widowControl/>
              <w:suppressLineNumbers w:val="0"/>
              <w:jc w:val="left"/>
              <w:textAlignment w:val="center"/>
              <w:rPr>
                <w:rFonts w:hint="eastAsia"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社会成本指标</w:t>
            </w:r>
          </w:p>
        </w:tc>
        <w:tc>
          <w:tcPr>
            <w:tcW w:w="1206" w:type="dxa"/>
            <w:gridSpan w:val="2"/>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资金使用合规</w:t>
            </w:r>
          </w:p>
        </w:tc>
        <w:tc>
          <w:tcPr>
            <w:tcW w:w="1197"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合规</w:t>
            </w:r>
          </w:p>
        </w:tc>
        <w:tc>
          <w:tcPr>
            <w:tcW w:w="1131"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合规</w:t>
            </w:r>
          </w:p>
        </w:tc>
        <w:tc>
          <w:tcPr>
            <w:tcW w:w="708" w:type="dxa"/>
            <w:noWrap w:val="0"/>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933" w:type="dxa"/>
            <w:noWrap w:val="0"/>
            <w:vAlign w:val="center"/>
          </w:tcPr>
          <w:p>
            <w:pPr>
              <w:keepNext w:val="0"/>
              <w:keepLines w:val="0"/>
              <w:widowControl/>
              <w:suppressLineNumbers w:val="0"/>
              <w:jc w:val="left"/>
              <w:textAlignment w:val="center"/>
              <w:rPr>
                <w:rFonts w:hint="default" w:ascii="仿宋_GB2312" w:hAnsi="宋体" w:eastAsia="仿宋_GB2312" w:cs="仿宋_GB2312"/>
                <w:i w:val="0"/>
                <w:iCs w:val="0"/>
                <w:color w:val="000000"/>
                <w:kern w:val="0"/>
                <w:sz w:val="20"/>
                <w:szCs w:val="20"/>
                <w:u w:val="none"/>
                <w:lang w:val="en-US" w:eastAsia="zh-CN" w:bidi="ar"/>
              </w:rPr>
            </w:pPr>
            <w:r>
              <w:rPr>
                <w:rFonts w:hint="default" w:ascii="仿宋_GB2312" w:hAnsi="宋体" w:eastAsia="仿宋_GB2312" w:cs="仿宋_GB2312"/>
                <w:i w:val="0"/>
                <w:iCs w:val="0"/>
                <w:color w:val="000000"/>
                <w:kern w:val="0"/>
                <w:sz w:val="20"/>
                <w:szCs w:val="20"/>
                <w:u w:val="none"/>
                <w:lang w:val="en-US" w:eastAsia="zh-CN" w:bidi="ar"/>
              </w:rPr>
              <w:t>10</w:t>
            </w:r>
          </w:p>
        </w:tc>
        <w:tc>
          <w:tcPr>
            <w:tcW w:w="1438" w:type="dxa"/>
            <w:noWrap w:val="0"/>
            <w:vAlign w:val="center"/>
          </w:tcPr>
          <w:p>
            <w:pPr>
              <w:widowControl/>
              <w:jc w:val="left"/>
              <w:rPr>
                <w:rFonts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44" w:type="dxa"/>
            <w:gridSpan w:val="7"/>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08" w:type="dxa"/>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33" w:type="dxa"/>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97</w:t>
            </w:r>
          </w:p>
        </w:tc>
        <w:tc>
          <w:tcPr>
            <w:tcW w:w="1438" w:type="dxa"/>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line="200" w:lineRule="exact"/>
        <w:jc w:val="both"/>
      </w:pPr>
    </w:p>
    <w:p/>
    <w:p/>
    <w:p/>
    <w:p/>
    <w:p/>
    <w:p/>
    <w:p/>
    <w:p/>
    <w:p/>
    <w:p/>
    <w:p/>
    <w:p/>
    <w:p/>
    <w:p/>
    <w:p/>
    <w:p/>
    <w:p/>
    <w:p/>
    <w:p/>
    <w:p/>
    <w:p/>
    <w:p/>
    <w:p/>
    <w:p/>
    <w:p/>
    <w:p/>
    <w:p/>
    <w:p/>
    <w:p/>
    <w:p/>
    <w:p/>
    <w:p/>
    <w:p/>
    <w:p/>
    <w:p/>
    <w:p/>
    <w:p/>
    <w:p>
      <w:pPr>
        <w:spacing w:line="600" w:lineRule="exact"/>
        <w:ind w:right="-78" w:rightChars="-37"/>
        <w:rPr>
          <w:rFonts w:hint="eastAsia" w:ascii="黑体" w:hAnsi="宋体" w:eastAsia="黑体"/>
          <w:kern w:val="0"/>
          <w:sz w:val="32"/>
          <w:szCs w:val="32"/>
        </w:rPr>
      </w:pPr>
      <w:r>
        <w:rPr>
          <w:rFonts w:ascii="仿宋_GB2312" w:hAnsi="新宋体"/>
          <w:sz w:val="28"/>
          <w:szCs w:val="28"/>
        </w:rPr>
        <w:t xml:space="preserve"> </w:t>
      </w:r>
    </w:p>
    <w:p>
      <w:pPr>
        <w:spacing w:line="560" w:lineRule="exact"/>
        <w:jc w:val="center"/>
        <w:rPr>
          <w:rFonts w:hint="eastAsia" w:ascii="Times New Roman" w:hAnsi="Times New Roman"/>
          <w:kern w:val="0"/>
          <w:sz w:val="44"/>
          <w:szCs w:val="44"/>
        </w:rPr>
      </w:pPr>
      <w:r>
        <w:rPr>
          <w:rFonts w:hint="eastAsia" w:ascii="方正小标宋_GBK" w:hAnsi="方正小标宋_GBK" w:eastAsia="方正小标宋_GBK"/>
          <w:kern w:val="0"/>
          <w:sz w:val="44"/>
          <w:szCs w:val="44"/>
          <w:lang w:eastAsia="zh-CN"/>
        </w:rPr>
        <w:t>江永县桃川镇中心幼儿园</w:t>
      </w:r>
      <w:r>
        <w:rPr>
          <w:rFonts w:ascii="方正小标宋_GBK" w:hAnsi="方正小标宋_GBK" w:eastAsia="方正小标宋_GBK"/>
          <w:kern w:val="0"/>
          <w:sz w:val="44"/>
          <w:szCs w:val="44"/>
        </w:rPr>
        <w:t>部门整体支出绩效评价表</w:t>
      </w:r>
    </w:p>
    <w:tbl>
      <w:tblPr>
        <w:tblStyle w:val="5"/>
        <w:tblW w:w="10608"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0"/>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hint="eastAsia" w:eastAsia="仿宋_GB2312"/>
                <w:kern w:val="0"/>
                <w:sz w:val="20"/>
                <w:szCs w:val="20"/>
                <w:lang w:eastAsia="zh-CN"/>
              </w:rPr>
              <w:t>“三公”经费</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hint="eastAsia" w:eastAsia="仿宋_GB2312"/>
                <w:kern w:val="0"/>
                <w:sz w:val="20"/>
                <w:szCs w:val="20"/>
                <w:lang w:eastAsia="zh-CN"/>
              </w:rPr>
              <w:t>“三公”经费</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gridAfter w:val="1"/>
          <w:wAfter w:w="8" w:type="dxa"/>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23</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5</w:t>
            </w:r>
            <w:r>
              <w:rPr>
                <w:kern w:val="0"/>
                <w:sz w:val="24"/>
              </w:rPr>
              <w:t>　</w:t>
            </w:r>
          </w:p>
        </w:tc>
      </w:tr>
      <w:tr>
        <w:tblPrEx>
          <w:tblCellMar>
            <w:top w:w="0" w:type="dxa"/>
            <w:left w:w="108" w:type="dxa"/>
            <w:bottom w:w="0" w:type="dxa"/>
            <w:right w:w="108" w:type="dxa"/>
          </w:tblCellMar>
        </w:tblPrEx>
        <w:trPr>
          <w:gridAfter w:val="1"/>
          <w:wAfter w:w="8" w:type="dxa"/>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8</w:t>
            </w:r>
          </w:p>
        </w:tc>
      </w:tr>
      <w:tr>
        <w:tblPrEx>
          <w:tblCellMar>
            <w:top w:w="0" w:type="dxa"/>
            <w:left w:w="108" w:type="dxa"/>
            <w:bottom w:w="0" w:type="dxa"/>
            <w:right w:w="108" w:type="dxa"/>
          </w:tblCellMar>
        </w:tblPrEx>
        <w:trPr>
          <w:gridAfter w:val="1"/>
          <w:wAfter w:w="8" w:type="dxa"/>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eastAsia="仿宋_GB2312"/>
                <w:kern w:val="0"/>
                <w:sz w:val="20"/>
                <w:szCs w:val="20"/>
                <w:lang w:eastAsia="zh-CN"/>
              </w:rPr>
              <w:t>“三公”经费</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实际支出数</w:t>
            </w:r>
            <w:r>
              <w:rPr>
                <w:rFonts w:eastAsia="仿宋_GB2312"/>
                <w:kern w:val="0"/>
                <w:sz w:val="20"/>
                <w:szCs w:val="20"/>
              </w:rPr>
              <w:t>/</w:t>
            </w:r>
            <w:r>
              <w:rPr>
                <w:rFonts w:hint="eastAsia" w:eastAsia="仿宋_GB2312"/>
                <w:kern w:val="0"/>
                <w:sz w:val="20"/>
                <w:szCs w:val="20"/>
                <w:lang w:eastAsia="zh-CN"/>
              </w:rPr>
              <w:t>“三公”经费</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7</w:t>
            </w:r>
            <w:r>
              <w:rPr>
                <w:kern w:val="0"/>
                <w:sz w:val="24"/>
              </w:rPr>
              <w:t>　</w:t>
            </w:r>
          </w:p>
        </w:tc>
      </w:tr>
      <w:tr>
        <w:tblPrEx>
          <w:tblCellMar>
            <w:top w:w="0" w:type="dxa"/>
            <w:left w:w="108" w:type="dxa"/>
            <w:bottom w:w="0" w:type="dxa"/>
            <w:right w:w="108" w:type="dxa"/>
          </w:tblCellMar>
        </w:tblPrEx>
        <w:trPr>
          <w:gridAfter w:val="1"/>
          <w:wAfter w:w="8" w:type="dxa"/>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6</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0"/>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8</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5</w:t>
            </w:r>
          </w:p>
        </w:tc>
      </w:tr>
      <w:tr>
        <w:tblPrEx>
          <w:tblCellMar>
            <w:top w:w="0" w:type="dxa"/>
            <w:left w:w="108" w:type="dxa"/>
            <w:bottom w:w="0" w:type="dxa"/>
            <w:right w:w="108" w:type="dxa"/>
          </w:tblCellMar>
        </w:tblPrEx>
        <w:trPr>
          <w:gridAfter w:val="1"/>
          <w:wAfter w:w="8" w:type="dxa"/>
          <w:jc w:val="center"/>
        </w:trPr>
        <w:tc>
          <w:tcPr>
            <w:tcW w:w="51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0"/>
            <w:vAlign w:val="center"/>
          </w:tcPr>
          <w:p>
            <w:pPr>
              <w:widowControl/>
              <w:jc w:val="left"/>
              <w:rPr>
                <w:rFonts w:hint="eastAsia" w:eastAsia="仿宋_GB2312"/>
                <w:kern w:val="0"/>
                <w:sz w:val="20"/>
                <w:szCs w:val="20"/>
              </w:rPr>
            </w:pPr>
            <w:r>
              <w:rPr>
                <w:rFonts w:eastAsia="仿宋_GB2312"/>
                <w:kern w:val="0"/>
                <w:sz w:val="20"/>
                <w:szCs w:val="20"/>
              </w:rPr>
              <w:t>根据绩效办20</w:t>
            </w:r>
            <w:r>
              <w:rPr>
                <w:rFonts w:hint="eastAsia" w:eastAsia="仿宋_GB2312"/>
                <w:kern w:val="0"/>
                <w:sz w:val="20"/>
                <w:szCs w:val="20"/>
              </w:rPr>
              <w:t>23</w:t>
            </w:r>
            <w:r>
              <w:rPr>
                <w:rFonts w:eastAsia="仿宋_GB2312"/>
                <w:kern w:val="0"/>
                <w:sz w:val="20"/>
                <w:szCs w:val="20"/>
              </w:rPr>
              <w:t>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gridAfter w:val="1"/>
          <w:wAfter w:w="8" w:type="dxa"/>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0"/>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pPr>
              <w:widowControl/>
              <w:jc w:val="left"/>
              <w:rPr>
                <w:rFonts w:hint="default" w:eastAsia="宋体"/>
                <w:kern w:val="0"/>
                <w:sz w:val="24"/>
                <w:lang w:val="en-US" w:eastAsia="zh-CN"/>
              </w:rPr>
            </w:pPr>
            <w:r>
              <w:rPr>
                <w:kern w:val="0"/>
                <w:sz w:val="24"/>
              </w:rPr>
              <w:t>　</w:t>
            </w:r>
            <w:r>
              <w:rPr>
                <w:rFonts w:hint="eastAsia"/>
                <w:kern w:val="0"/>
                <w:sz w:val="24"/>
                <w:lang w:val="en-US" w:eastAsia="zh-CN"/>
              </w:rPr>
              <w:t>4.5</w:t>
            </w:r>
          </w:p>
        </w:tc>
      </w:tr>
      <w:tr>
        <w:tblPrEx>
          <w:tblCellMar>
            <w:top w:w="0" w:type="dxa"/>
            <w:left w:w="108" w:type="dxa"/>
            <w:bottom w:w="0" w:type="dxa"/>
            <w:right w:w="108" w:type="dxa"/>
          </w:tblCellMar>
        </w:tblPrEx>
        <w:trPr>
          <w:gridAfter w:val="1"/>
          <w:wAfter w:w="8" w:type="dxa"/>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0"/>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0"/>
            <w:vAlign w:val="center"/>
          </w:tcPr>
          <w:p>
            <w:pPr>
              <w:widowControl/>
              <w:jc w:val="left"/>
              <w:rPr>
                <w:kern w:val="0"/>
                <w:sz w:val="24"/>
              </w:rPr>
            </w:pPr>
            <w:r>
              <w:rPr>
                <w:rFonts w:hint="eastAsia"/>
                <w:kern w:val="0"/>
                <w:sz w:val="24"/>
                <w:lang w:val="en-US" w:eastAsia="zh-CN"/>
              </w:rPr>
              <w:t>4.5</w:t>
            </w:r>
            <w:r>
              <w:rPr>
                <w:kern w:val="0"/>
                <w:sz w:val="24"/>
              </w:rPr>
              <w:t>　</w:t>
            </w:r>
          </w:p>
        </w:tc>
      </w:tr>
      <w:tr>
        <w:tblPrEx>
          <w:tblCellMar>
            <w:top w:w="0" w:type="dxa"/>
            <w:left w:w="108" w:type="dxa"/>
            <w:bottom w:w="0" w:type="dxa"/>
            <w:right w:w="108" w:type="dxa"/>
          </w:tblCellMar>
        </w:tblPrEx>
        <w:trPr>
          <w:gridAfter w:val="1"/>
          <w:wAfter w:w="8" w:type="dxa"/>
          <w:jc w:val="center"/>
        </w:trPr>
        <w:tc>
          <w:tcPr>
            <w:tcW w:w="51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0"/>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pPr>
              <w:widowControl/>
              <w:jc w:val="left"/>
              <w:rPr>
                <w:kern w:val="0"/>
                <w:sz w:val="24"/>
              </w:rPr>
            </w:pPr>
            <w:r>
              <w:rPr>
                <w:rFonts w:hint="eastAsia"/>
                <w:kern w:val="0"/>
                <w:sz w:val="24"/>
                <w:lang w:val="en-US" w:eastAsia="zh-CN"/>
              </w:rPr>
              <w:t>6</w:t>
            </w:r>
            <w:r>
              <w:rPr>
                <w:kern w:val="0"/>
                <w:sz w:val="24"/>
              </w:rPr>
              <w:t>　</w:t>
            </w:r>
          </w:p>
        </w:tc>
      </w:tr>
      <w:tr>
        <w:tblPrEx>
          <w:tblCellMar>
            <w:top w:w="0" w:type="dxa"/>
            <w:left w:w="108" w:type="dxa"/>
            <w:bottom w:w="0" w:type="dxa"/>
            <w:right w:w="108" w:type="dxa"/>
          </w:tblCellMar>
        </w:tblPrEx>
        <w:trPr>
          <w:gridAfter w:val="1"/>
          <w:wAfter w:w="8" w:type="dxa"/>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0"/>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0"/>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0"/>
            <w:vAlign w:val="center"/>
          </w:tcPr>
          <w:p>
            <w:pPr>
              <w:widowControl/>
              <w:jc w:val="left"/>
              <w:rPr>
                <w:rFonts w:hint="eastAsia"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hint="eastAsia"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0"/>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pPr>
              <w:widowControl/>
              <w:jc w:val="left"/>
              <w:rPr>
                <w:rFonts w:hint="eastAsia" w:eastAsia="宋体"/>
                <w:kern w:val="0"/>
                <w:sz w:val="24"/>
                <w:lang w:val="en-US" w:eastAsia="zh-CN"/>
              </w:rPr>
            </w:pPr>
            <w:r>
              <w:rPr>
                <w:kern w:val="0"/>
                <w:sz w:val="24"/>
              </w:rPr>
              <w:t>　</w:t>
            </w:r>
            <w:r>
              <w:rPr>
                <w:rFonts w:hint="eastAsia"/>
                <w:kern w:val="0"/>
                <w:sz w:val="24"/>
                <w:lang w:val="en-US" w:eastAsia="zh-CN"/>
              </w:rPr>
              <w:t>6</w:t>
            </w:r>
          </w:p>
        </w:tc>
      </w:tr>
      <w:tr>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0"/>
            <w:vAlign w:val="center"/>
          </w:tcPr>
          <w:p>
            <w:pPr>
              <w:widowControl/>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97</w:t>
            </w:r>
          </w:p>
        </w:tc>
      </w:tr>
    </w:tbl>
    <w:p>
      <w:pPr>
        <w:spacing w:line="600" w:lineRule="exact"/>
        <w:rPr>
          <w:rFonts w:eastAsia="黑体"/>
          <w:kern w:val="0"/>
          <w:sz w:val="32"/>
          <w:szCs w:val="32"/>
        </w:rPr>
      </w:pPr>
    </w:p>
    <w:p>
      <w:pPr>
        <w:spacing w:line="600" w:lineRule="exact"/>
        <w:rPr>
          <w:rFonts w:eastAsia="黑体"/>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yMjIyZjFmMGVlZTZkMzJkOWE4N2YwZTNjNGZhMDgifQ=="/>
    <w:docVar w:name="KSO_WPS_MARK_KEY" w:val="6aee906e-a7de-4205-b603-4d5f6656a126"/>
  </w:docVars>
  <w:rsids>
    <w:rsidRoot w:val="3B2E149E"/>
    <w:rsid w:val="00313A39"/>
    <w:rsid w:val="008A1940"/>
    <w:rsid w:val="00932553"/>
    <w:rsid w:val="00C65925"/>
    <w:rsid w:val="00C96346"/>
    <w:rsid w:val="00E82067"/>
    <w:rsid w:val="0BCF36F6"/>
    <w:rsid w:val="13E30835"/>
    <w:rsid w:val="1A1A7F1B"/>
    <w:rsid w:val="2C745384"/>
    <w:rsid w:val="363C2636"/>
    <w:rsid w:val="3B2E149E"/>
    <w:rsid w:val="3C593CE5"/>
    <w:rsid w:val="3E007A52"/>
    <w:rsid w:val="48D47BB5"/>
    <w:rsid w:val="498176A7"/>
    <w:rsid w:val="4C4E010F"/>
    <w:rsid w:val="565E3994"/>
    <w:rsid w:val="681D2D49"/>
    <w:rsid w:val="6AB01D17"/>
    <w:rsid w:val="74727C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3870</Words>
  <Characters>4290</Characters>
  <Lines>2</Lines>
  <Paragraphs>3</Paragraphs>
  <TotalTime>1</TotalTime>
  <ScaleCrop>false</ScaleCrop>
  <LinksUpToDate>false</LinksUpToDate>
  <CharactersWithSpaces>4716</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2023-11-17T00:43:00Z</dcterms:created>
  <dc:creator>^与久。</dc:creator>
  <cp:lastModifiedBy>Administrator</cp:lastModifiedBy>
  <cp:lastPrinted>2024-03-21T01:55:00Z</cp:lastPrinted>
  <dcterms:modified xsi:type="dcterms:W3CDTF">2024-12-25T02:09:38Z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9238D00997C14895BB9A1CB08F0A8920_13</vt:lpwstr>
  </property>
</Properties>
</file>